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33" w:lineRule="auto"/>
        <w:rPr>
          <w:b/>
        </w:rPr>
      </w:pPr>
      <w:r>
        <w:rPr>
          <w:b/>
        </w:rPr>
        <w:t xml:space="preserve">ФИНАНСОВО-ЭКОНОМИЧЕСКОЕ ОБОСНОВАНИЕ</w:t>
      </w:r>
      <w:r>
        <w:rPr>
          <w:b/>
        </w:rPr>
      </w:r>
    </w:p>
    <w:p>
      <w:pPr>
        <w:pStyle w:val="941"/>
        <w:jc w:val="center"/>
        <w:spacing w:line="23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закона Новосибирской области «О разграничении полномочий органов государственной власти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Cs/>
          <w:sz w:val="28"/>
          <w:szCs w:val="28"/>
        </w:rPr>
        <w:t xml:space="preserve">в сфере увековечения памяти жертв геноцида советского народа в период Великой </w:t>
      </w:r>
      <w:r>
        <w:rPr>
          <w:rFonts w:ascii="Times New Roman" w:hAnsi="Times New Roman"/>
          <w:bCs/>
          <w:sz w:val="28"/>
          <w:szCs w:val="28"/>
        </w:rPr>
        <w:t xml:space="preserve">Отечественной войны 1941-1945 годов</w:t>
      </w:r>
      <w: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2"/>
        <w:jc w:val="left"/>
        <w:spacing w:line="233" w:lineRule="auto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931"/>
        <w:contextualSpacing/>
        <w:ind w:firstLine="709"/>
        <w:jc w:val="both"/>
        <w:spacing w:line="233" w:lineRule="auto"/>
        <w:rPr>
          <w:szCs w:val="28"/>
        </w:rPr>
      </w:pPr>
      <w:r>
        <w:t xml:space="preserve">Принятие </w:t>
      </w:r>
      <w:r>
        <w:rPr>
          <w:szCs w:val="28"/>
        </w:rPr>
        <w:t xml:space="preserve">закона Новосибирской области </w:t>
      </w:r>
      <w:r>
        <w:rPr>
          <w:color w:val="000000"/>
          <w:szCs w:val="28"/>
        </w:rPr>
        <w:t xml:space="preserve">«</w:t>
      </w:r>
      <w:r>
        <w:rPr>
          <w:szCs w:val="28"/>
        </w:rPr>
        <w:t xml:space="preserve">О разграничении полномочий органов государственной власти Новосибирской области в сфере увековечения памяти жертв геноцида советского народа в период Великой Отечественной войны 1</w:t>
      </w:r>
      <w:r>
        <w:rPr>
          <w:szCs w:val="28"/>
        </w:rPr>
        <w:t xml:space="preserve">941-1945 годов</w:t>
      </w:r>
      <w:r>
        <w:rPr>
          <w:color w:val="000000"/>
          <w:szCs w:val="28"/>
        </w:rPr>
        <w:t xml:space="preserve">»</w:t>
      </w:r>
      <w:r>
        <w:rPr>
          <w:szCs w:val="28"/>
        </w:rPr>
        <w:t xml:space="preserve"> (далее – закон) </w:t>
      </w:r>
      <w:r>
        <w:rPr>
          <w:color w:val="000000"/>
          <w:szCs w:val="28"/>
        </w:rPr>
        <w:t xml:space="preserve">не потребует дополнительных расходов из областного бюджета Новосибирской области.</w:t>
      </w:r>
      <w:r>
        <w:rPr>
          <w:szCs w:val="28"/>
        </w:rPr>
      </w:r>
    </w:p>
    <w:p>
      <w:pPr>
        <w:ind w:firstLine="708"/>
        <w:jc w:val="both"/>
        <w:rPr>
          <w:szCs w:val="28"/>
        </w:rPr>
      </w:pPr>
      <w:r>
        <w:rPr>
          <w:szCs w:val="28"/>
        </w:rPr>
        <w:t xml:space="preserve">Участниками реализации</w:t>
      </w:r>
      <w:r>
        <w:rPr>
          <w:szCs w:val="28"/>
        </w:rPr>
        <w:t xml:space="preserve"> закона являются министерство </w:t>
      </w:r>
      <w:r>
        <w:rPr>
          <w:bCs/>
          <w:iCs/>
          <w:szCs w:val="28"/>
        </w:rPr>
        <w:t xml:space="preserve">региональной политики Новосибирской области</w:t>
      </w:r>
      <w:r>
        <w:rPr>
          <w:szCs w:val="28"/>
        </w:rPr>
        <w:t xml:space="preserve">, министерство образования Новосибирской област</w:t>
      </w:r>
      <w:r>
        <w:rPr>
          <w:szCs w:val="28"/>
        </w:rPr>
        <w:t xml:space="preserve">и, министерство культуры Новосибирской области, департамент молодежной политики Новосибирской области, </w:t>
      </w:r>
      <w:r>
        <w:rPr>
          <w:szCs w:val="28"/>
        </w:rPr>
        <w:t xml:space="preserve">управление государственной архивной службы Новосибирской области</w:t>
      </w:r>
      <w:r>
        <w:rPr>
          <w:szCs w:val="28"/>
        </w:rPr>
        <w:t xml:space="preserve">.</w:t>
      </w:r>
      <w:r>
        <w:rPr>
          <w:szCs w:val="28"/>
        </w:rPr>
      </w:r>
    </w:p>
    <w:p>
      <w:pPr>
        <w:pStyle w:val="931"/>
        <w:contextualSpacing/>
        <w:ind w:firstLine="709"/>
        <w:jc w:val="both"/>
        <w:spacing w:line="233" w:lineRule="auto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Реализация закона </w:t>
      </w:r>
      <w:r>
        <w:rPr>
          <w:color w:val="000000" w:themeColor="text1"/>
        </w:rPr>
        <w:t xml:space="preserve">не потребует выделения дополнительных бюджетных ассигнований и будет </w:t>
      </w:r>
      <w:r>
        <w:rPr>
          <w:color w:val="000000" w:themeColor="text1"/>
        </w:rPr>
        <w:t xml:space="preserve">осуществляться </w:t>
      </w:r>
      <w:r>
        <w:rPr>
          <w:b/>
          <w:bCs/>
          <w:szCs w:val="28"/>
        </w:rPr>
        <w:t xml:space="preserve">министерством </w:t>
      </w:r>
      <w:r>
        <w:rPr>
          <w:b/>
          <w:bCs/>
          <w:iCs/>
          <w:szCs w:val="28"/>
        </w:rPr>
        <w:t xml:space="preserve">региональной политики Новосибирской области </w:t>
      </w:r>
      <w:r>
        <w:rPr>
          <w:color w:val="000000" w:themeColor="text1"/>
        </w:rPr>
        <w:t xml:space="preserve">в рамках </w:t>
      </w:r>
      <w:r>
        <w:rPr>
          <w:bCs/>
          <w:iCs/>
          <w:szCs w:val="28"/>
        </w:rPr>
        <w:t xml:space="preserve">полномочия: </w:t>
      </w:r>
      <w:r>
        <w:rPr>
          <w:szCs w:val="28"/>
        </w:rPr>
        <w:t xml:space="preserve">«Осуществление региональных и межмуниципальных программ и мероприятий по работе с детьми и молодежью»</w:t>
      </w:r>
      <w:r>
        <w:rPr>
          <w:color w:val="000000" w:themeColor="text1"/>
        </w:rPr>
        <w:t xml:space="preserve"> в пределах бюджетных ассигнований, предусмотренных </w:t>
      </w:r>
      <w:r>
        <w:rPr>
          <w:szCs w:val="28"/>
        </w:rPr>
        <w:t xml:space="preserve">законом Новосибирской области от 19.12.2025 № 37-ОЗ «Об областном бюджете Новосибирской области на 2026 год и плановый период 2027 и 2028 годов» (далее – Закон НСО от 19.12.2025 № 37-ОЗ), и</w:t>
      </w:r>
      <w:r>
        <w:rPr>
          <w:color w:val="000000" w:themeColor="text1"/>
        </w:rPr>
        <w:t xml:space="preserve"> лимитов бюджетных обязательств (далее </w:t>
      </w:r>
      <w:r>
        <w:rPr>
          <w:szCs w:val="28"/>
        </w:rPr>
        <w:t xml:space="preserve">–</w:t>
      </w:r>
      <w:r>
        <w:rPr>
          <w:color w:val="000000" w:themeColor="text1"/>
        </w:rPr>
        <w:t xml:space="preserve"> ЛБО), доведенных министерс</w:t>
      </w:r>
      <w:r>
        <w:rPr>
          <w:color w:val="000000" w:themeColor="text1"/>
        </w:rPr>
        <w:t xml:space="preserve">тву региональной политики Новосибирской области на 2026 - 2028 годы.</w:t>
      </w:r>
      <w:r>
        <w:rPr>
          <w:szCs w:val="28"/>
        </w:rPr>
      </w:r>
    </w:p>
    <w:p>
      <w:pPr>
        <w:pStyle w:val="931"/>
        <w:contextualSpacing/>
        <w:ind w:firstLine="709"/>
        <w:jc w:val="both"/>
        <w:spacing w:line="233" w:lineRule="auto"/>
        <w:rPr>
          <w:szCs w:val="28"/>
        </w:rPr>
      </w:pPr>
      <w:r>
        <w:rPr>
          <w:szCs w:val="28"/>
        </w:rPr>
        <w:t xml:space="preserve">Мероприятия по поддержке поискового движения, </w:t>
      </w:r>
      <w:r>
        <w:rPr>
          <w:color w:val="000000" w:themeColor="text1"/>
          <w:szCs w:val="28"/>
        </w:rPr>
        <w:t xml:space="preserve">направленного на выявление неизвестных захоронений останков жертв геноцида советского народа и непогребенных останков жертв геноцида советско</w:t>
      </w:r>
      <w:r>
        <w:rPr>
          <w:color w:val="000000" w:themeColor="text1"/>
          <w:szCs w:val="28"/>
        </w:rPr>
        <w:t xml:space="preserve">го народа</w:t>
      </w:r>
      <w:r>
        <w:rPr>
          <w:szCs w:val="28"/>
        </w:rPr>
        <w:t xml:space="preserve">, по организации и проведению захоронений (перезахоронений) на территории Новосибирской области </w:t>
      </w:r>
      <w:r>
        <w:rPr>
          <w:szCs w:val="28"/>
        </w:rPr>
        <w:t xml:space="preserve">жертв геноцида советского народа,</w:t>
      </w:r>
      <w:r>
        <w:rPr>
          <w:szCs w:val="28"/>
        </w:rPr>
        <w:t xml:space="preserve"> будут осуществляться в рамках мероприятий</w:t>
      </w:r>
      <w:r>
        <w:rPr>
          <w:rStyle w:val="916"/>
          <w:color w:val="000000"/>
          <w:szCs w:val="28"/>
        </w:rPr>
        <w:footnoteReference w:id="2"/>
      </w:r>
      <w:r>
        <w:rPr>
          <w:szCs w:val="28"/>
        </w:rPr>
        <w:t xml:space="preserve">:</w:t>
      </w:r>
      <w:r>
        <w:rPr>
          <w:szCs w:val="28"/>
        </w:rPr>
      </w:r>
    </w:p>
    <w:p>
      <w:pPr>
        <w:pStyle w:val="931"/>
        <w:contextualSpacing/>
        <w:ind w:firstLine="709"/>
        <w:jc w:val="both"/>
        <w:spacing w:line="233" w:lineRule="auto"/>
      </w:pPr>
      <w:r>
        <w:rPr>
          <w:color w:val="000000"/>
          <w:szCs w:val="28"/>
        </w:rPr>
        <w:t xml:space="preserve">по предоставлению </w:t>
      </w:r>
      <w:r>
        <w:rPr>
          <w:color w:val="000000"/>
          <w:szCs w:val="28"/>
          <w:highlight w:val="white"/>
        </w:rPr>
        <w:t xml:space="preserve">финансовой поддержки социально ориентированным некоммер</w:t>
      </w:r>
      <w:r>
        <w:rPr>
          <w:color w:val="000000"/>
          <w:szCs w:val="28"/>
          <w:highlight w:val="white"/>
        </w:rPr>
        <w:t xml:space="preserve">ческим организациям на организацию и проведение поисковых работ по выявлению неизвестных воинских захоронений и непогребенных останков воинов, погибших при защите Отечества</w:t>
      </w:r>
      <w:r>
        <w:rPr>
          <w:color w:val="000000"/>
          <w:szCs w:val="28"/>
        </w:rPr>
        <w:t xml:space="preserve">;</w:t>
      </w:r>
      <w:r>
        <w:t xml:space="preserve"> </w:t>
      </w:r>
      <w:r/>
    </w:p>
    <w:p>
      <w:pPr>
        <w:pStyle w:val="931"/>
        <w:contextualSpacing/>
        <w:ind w:firstLine="709"/>
        <w:jc w:val="both"/>
        <w:spacing w:line="233" w:lineRule="auto"/>
        <w:rPr>
          <w:color w:val="000000"/>
          <w:szCs w:val="28"/>
        </w:rPr>
      </w:pPr>
      <w:r>
        <w:t xml:space="preserve">по </w:t>
      </w:r>
      <w:r>
        <w:rPr>
          <w:szCs w:val="28"/>
        </w:rPr>
        <w:t xml:space="preserve">проведению захоронений (перезахоронений) на территории Новосибирской области о</w:t>
      </w:r>
      <w:r>
        <w:rPr>
          <w:szCs w:val="28"/>
        </w:rPr>
        <w:t xml:space="preserve">станков воинов, погибших при защите Отечества, выявленных в ходе проведения поисковых работ</w:t>
      </w:r>
      <w:r>
        <w:rPr>
          <w:color w:val="000000"/>
          <w:szCs w:val="28"/>
        </w:rPr>
        <w:t xml:space="preserve">. </w:t>
      </w:r>
      <w:r>
        <w:rPr>
          <w:color w:val="000000"/>
          <w:szCs w:val="28"/>
        </w:rPr>
      </w:r>
    </w:p>
    <w:p>
      <w:pPr>
        <w:ind w:firstLine="709"/>
        <w:jc w:val="both"/>
        <w:spacing w:line="233" w:lineRule="auto"/>
        <w:tabs>
          <w:tab w:val="left" w:pos="-2694" w:leader="none"/>
          <w:tab w:val="left" w:pos="-1560" w:leader="none"/>
        </w:tabs>
      </w:pPr>
      <w:r>
        <w:rPr>
          <w:szCs w:val="28"/>
        </w:rPr>
        <w:t xml:space="preserve">Законом НСО от</w:t>
      </w:r>
      <w:r>
        <w:rPr>
          <w:szCs w:val="28"/>
        </w:rPr>
        <w:t xml:space="preserve"> </w:t>
      </w:r>
      <w:r>
        <w:rPr>
          <w:szCs w:val="28"/>
        </w:rPr>
        <w:t xml:space="preserve">19.12.2025 № 37-ОЗ министерству региональной политики Новосибирской области </w:t>
      </w:r>
      <w:r>
        <w:rPr>
          <w:bCs/>
          <w:iCs/>
          <w:szCs w:val="28"/>
        </w:rPr>
        <w:t xml:space="preserve">предусмотрены </w:t>
      </w:r>
      <w:r>
        <w:rPr>
          <w:szCs w:val="28"/>
        </w:rPr>
        <w:t xml:space="preserve">бюджетные</w:t>
      </w:r>
      <w:r>
        <w:rPr>
          <w:bCs/>
          <w:iCs/>
          <w:szCs w:val="28"/>
        </w:rPr>
        <w:t xml:space="preserve"> ассигнования</w:t>
      </w:r>
      <w:r>
        <w:rPr>
          <w:szCs w:val="28"/>
        </w:rPr>
        <w:t xml:space="preserve"> по расходному обязательству </w:t>
      </w:r>
      <w:r>
        <w:rPr>
          <w:szCs w:val="28"/>
        </w:rPr>
        <w:t xml:space="preserve">«</w:t>
      </w:r>
      <w:r>
        <w:rPr>
          <w:szCs w:val="28"/>
        </w:rPr>
        <w:t xml:space="preserve">Мероприятия по патриотическому воспитанию граждан Российской Федерации в Новосибирской области»</w:t>
      </w:r>
      <w:r>
        <w:rPr>
          <w:szCs w:val="28"/>
        </w:rPr>
        <w:t xml:space="preserve">:</w:t>
      </w:r>
      <w:r/>
    </w:p>
    <w:p>
      <w:pPr>
        <w:ind w:firstLine="709"/>
        <w:jc w:val="both"/>
        <w:spacing w:line="233" w:lineRule="auto"/>
        <w:tabs>
          <w:tab w:val="left" w:pos="-2694" w:leader="none"/>
          <w:tab w:val="left" w:pos="-1560" w:leader="none"/>
        </w:tabs>
      </w:pPr>
      <w:r>
        <w:rPr>
          <w:szCs w:val="28"/>
        </w:rPr>
        <w:t xml:space="preserve">КБК 105 </w:t>
      </w:r>
      <w:r>
        <w:rPr>
          <w:bCs/>
          <w:iCs/>
          <w:szCs w:val="28"/>
        </w:rPr>
        <w:t xml:space="preserve">0709 </w:t>
      </w:r>
      <w:r>
        <w:rPr>
          <w:rFonts w:eastAsia="Calibri"/>
          <w:szCs w:val="28"/>
        </w:rPr>
        <w:t xml:space="preserve">16.3.04.07240 633</w:t>
      </w:r>
      <w:r>
        <w:rPr>
          <w:szCs w:val="28"/>
        </w:rPr>
        <w:t xml:space="preserve"> – 7 960,0 тыс. руб. на 2026-2028 годы ежегодно, общий объем расходов – 23 880,0 тыс. руб.</w:t>
      </w:r>
      <w:r>
        <w:t xml:space="preserve">;</w:t>
      </w:r>
      <w:r/>
    </w:p>
    <w:p>
      <w:pPr>
        <w:ind w:firstLine="709"/>
        <w:jc w:val="both"/>
        <w:spacing w:line="233" w:lineRule="auto"/>
        <w:tabs>
          <w:tab w:val="left" w:pos="-2694" w:leader="none"/>
          <w:tab w:val="left" w:pos="-1560" w:leader="none"/>
        </w:tabs>
        <w:rPr>
          <w:rFonts w:eastAsia="Calibri"/>
        </w:rPr>
      </w:pPr>
      <w:r>
        <w:t xml:space="preserve">КБК </w:t>
      </w:r>
      <w:r>
        <w:rPr>
          <w:szCs w:val="28"/>
        </w:rPr>
        <w:t xml:space="preserve">105 </w:t>
      </w:r>
      <w:r>
        <w:rPr>
          <w:bCs/>
          <w:iCs/>
          <w:szCs w:val="28"/>
        </w:rPr>
        <w:t xml:space="preserve">070</w:t>
      </w:r>
      <w:r>
        <w:rPr>
          <w:rFonts w:eastAsia="Calibri"/>
        </w:rPr>
        <w:t xml:space="preserve">9 16.3.04.04580 244 </w:t>
      </w:r>
      <w:r>
        <w:rPr>
          <w:szCs w:val="28"/>
        </w:rPr>
        <w:t xml:space="preserve">–</w:t>
      </w:r>
      <w:r>
        <w:rPr>
          <w:rFonts w:eastAsia="Calibri"/>
        </w:rPr>
        <w:t xml:space="preserve"> </w:t>
      </w:r>
      <w:r>
        <w:rPr>
          <w:color w:val="000000" w:themeColor="text1"/>
        </w:rPr>
        <w:t xml:space="preserve">621,</w:t>
      </w:r>
      <w:r>
        <w:rPr>
          <w:color w:val="000000" w:themeColor="text1"/>
        </w:rPr>
        <w:t xml:space="preserve">7</w:t>
      </w:r>
      <w:r>
        <w:rPr>
          <w:rFonts w:eastAsia="Calibri"/>
        </w:rPr>
        <w:t xml:space="preserve"> тыс.руб. на </w:t>
      </w:r>
      <w:r>
        <w:rPr>
          <w:szCs w:val="28"/>
        </w:rPr>
        <w:t xml:space="preserve">2026-2028 годы ежегодно, общий объем расходов – 1 865,1 тыс. руб.</w:t>
      </w:r>
      <w:r>
        <w:rPr>
          <w:rFonts w:eastAsia="Calibri"/>
        </w:rPr>
        <w:t xml:space="preserve">, из них на мероприятия по </w:t>
      </w:r>
      <w:r>
        <w:t xml:space="preserve">организации и проведению захоронений (перезахоронений) </w:t>
      </w:r>
      <w:r>
        <w:rPr>
          <w:szCs w:val="28"/>
        </w:rPr>
        <w:t xml:space="preserve">–</w:t>
      </w:r>
      <w:r>
        <w:rPr>
          <w:rFonts w:eastAsia="Calibri"/>
        </w:rPr>
        <w:t xml:space="preserve"> 350,0 тыс.руб. на </w:t>
      </w:r>
      <w:r>
        <w:rPr>
          <w:szCs w:val="28"/>
        </w:rPr>
        <w:t xml:space="preserve">2026-2028 годы ежегодно, общий объем расходов – 1 050,0 тыс. руб.</w:t>
      </w:r>
      <w:r>
        <w:rPr>
          <w:rFonts w:eastAsia="Calibri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rPr>
          <w:color w:val="000000"/>
          <w:highlight w:val="yellow"/>
        </w:rPr>
      </w:pPr>
      <w:r>
        <w:rPr>
          <w:color w:val="000000"/>
          <w:szCs w:val="28"/>
          <w:shd w:val="clear" w:color="auto" w:fill="ffffff"/>
        </w:rPr>
        <w:t xml:space="preserve">Реали</w:t>
      </w:r>
      <w:r>
        <w:rPr>
          <w:color w:val="000000"/>
          <w:szCs w:val="28"/>
          <w:shd w:val="clear" w:color="auto" w:fill="ffffff"/>
        </w:rPr>
        <w:t xml:space="preserve">зация закона будет осуществляться </w:t>
      </w:r>
      <w:r>
        <w:rPr>
          <w:b/>
          <w:bCs/>
          <w:szCs w:val="28"/>
          <w:shd w:val="clear" w:color="auto" w:fill="ffffff"/>
        </w:rPr>
        <w:t xml:space="preserve">министерством образования Новосибирской области</w:t>
      </w:r>
      <w:r>
        <w:rPr>
          <w:color w:val="000000"/>
          <w:szCs w:val="28"/>
          <w:shd w:val="clear" w:color="auto" w:fill="ffffff"/>
        </w:rPr>
        <w:t xml:space="preserve"> в пределах бюджетных ассигнований, </w:t>
      </w:r>
      <w:r>
        <w:rPr>
          <w:color w:val="000000"/>
          <w:szCs w:val="28"/>
          <w:highlight w:val="white"/>
          <w:shd w:val="clear" w:color="auto" w:fill="ffffff"/>
        </w:rPr>
        <w:t xml:space="preserve">предусмотренных Законом</w:t>
      </w:r>
      <w:r>
        <w:t xml:space="preserve"> НСО от 19.12.2025 № 37-ОЗ</w:t>
      </w:r>
      <w:r>
        <w:rPr>
          <w:color w:val="000000"/>
          <w:szCs w:val="28"/>
          <w:shd w:val="clear" w:color="auto" w:fill="ffffff"/>
        </w:rPr>
        <w:t xml:space="preserve"> и доведенных министерству образования Новосибирской области ЛБО</w:t>
      </w:r>
      <w:r>
        <w:rPr>
          <w:color w:val="000000"/>
          <w:szCs w:val="28"/>
          <w:shd w:val="clear" w:color="auto" w:fill="ffffff"/>
        </w:rPr>
        <w:t xml:space="preserve">,</w:t>
      </w:r>
      <w:r>
        <w:rPr>
          <w:color w:val="000000"/>
          <w:szCs w:val="28"/>
          <w:shd w:val="clear" w:color="auto" w:fill="ffffff"/>
        </w:rPr>
        <w:t xml:space="preserve"> с учетом плана меропр</w:t>
      </w:r>
      <w:r>
        <w:rPr>
          <w:color w:val="000000"/>
          <w:szCs w:val="28"/>
          <w:shd w:val="clear" w:color="auto" w:fill="ffffff"/>
        </w:rPr>
        <w:t xml:space="preserve">иятий по оптимизации расходов областного бюджета Новосибирской области, дополнительных средств из областного бюджета Новосибирской области, </w:t>
      </w:r>
      <w:r>
        <w:rPr>
          <w:color w:val="000000"/>
          <w:szCs w:val="28"/>
          <w:shd w:val="clear" w:color="auto" w:fill="ffffff"/>
        </w:rPr>
        <w:t xml:space="preserve">в рамках полномочий </w:t>
      </w:r>
      <w:r>
        <w:rPr>
          <w:color w:val="000000"/>
          <w:szCs w:val="28"/>
        </w:rPr>
        <w:t xml:space="preserve">«Организация предоставления дополнительного образования детей в государственных образовательных </w:t>
      </w:r>
      <w:r>
        <w:rPr>
          <w:color w:val="000000"/>
          <w:szCs w:val="28"/>
        </w:rPr>
        <w:t xml:space="preserve">организациях субъектов Российской Федерации»</w:t>
      </w:r>
      <w:r>
        <w:rPr>
          <w:szCs w:val="28"/>
        </w:rPr>
        <w:t xml:space="preserve">, «Организация предоставления дополнительного профессионального образования в государственных образовательных организациях субъектов Российской Федерации», </w:t>
      </w:r>
      <w:r>
        <w:rPr>
          <w:szCs w:val="28"/>
          <w:highlight w:val="white"/>
        </w:rPr>
        <w:t xml:space="preserve">«Организация предоставления среднего профессионального о</w:t>
      </w:r>
      <w:r>
        <w:rPr>
          <w:szCs w:val="28"/>
          <w:highlight w:val="white"/>
        </w:rPr>
        <w:t xml:space="preserve">бразования, включая обеспечение государственных гарантий реализации права на получение общедоступного и бесплатного среднего профессионального образования»</w:t>
      </w:r>
      <w:r>
        <w:rPr>
          <w:color w:val="000000"/>
          <w:szCs w:val="28"/>
        </w:rPr>
        <w:t xml:space="preserve">.</w:t>
      </w:r>
      <w:r>
        <w:rPr>
          <w:color w:val="000000"/>
          <w:highlight w:val="yellow"/>
        </w:rPr>
      </w:r>
    </w:p>
    <w:p>
      <w:pPr>
        <w:ind w:firstLine="709"/>
        <w:jc w:val="both"/>
        <w:rPr>
          <w:color w:val="000000"/>
        </w:rPr>
      </w:pPr>
      <w:r>
        <w:rPr>
          <w:szCs w:val="28"/>
        </w:rPr>
        <w:t xml:space="preserve">В соответствии с </w:t>
      </w:r>
      <w:r>
        <w:rPr>
          <w:color w:val="000000"/>
          <w:szCs w:val="28"/>
        </w:rPr>
        <w:t xml:space="preserve">расходным обязательством «Оказание услуг по реализации дополнительных общеобразова</w:t>
      </w:r>
      <w:r>
        <w:rPr>
          <w:color w:val="000000"/>
          <w:szCs w:val="28"/>
        </w:rPr>
        <w:t xml:space="preserve">тельных программ и обеспечение деятельности учреждений дополнительного образования»</w:t>
      </w:r>
      <w:r>
        <w:rPr>
          <w:rStyle w:val="916"/>
          <w:szCs w:val="28"/>
        </w:rPr>
        <w:footnoteReference w:id="3"/>
      </w:r>
      <w:r>
        <w:t xml:space="preserve"> </w:t>
      </w:r>
      <w:r>
        <w:rPr>
          <w:szCs w:val="28"/>
          <w:highlight w:val="white"/>
        </w:rPr>
        <w:t xml:space="preserve">в рамках текущей деятельности подведомственных министерству </w:t>
      </w:r>
      <w:r>
        <w:rPr>
          <w:szCs w:val="28"/>
          <w:shd w:val="clear" w:color="auto" w:fill="ffffff"/>
        </w:rPr>
        <w:t xml:space="preserve">образования Новосибирской области</w:t>
      </w:r>
      <w:r>
        <w:rPr>
          <w:szCs w:val="28"/>
          <w:highlight w:val="white"/>
        </w:rPr>
        <w:t xml:space="preserve"> учреждений за счет средств субсидии на выполнение государственного задания </w:t>
      </w:r>
      <w:r>
        <w:rPr>
          <w:szCs w:val="28"/>
          <w:highlight w:val="white"/>
        </w:rPr>
        <w:t xml:space="preserve">по КБК </w:t>
      </w:r>
      <w:r>
        <w:rPr>
          <w:color w:val="000000"/>
          <w:szCs w:val="28"/>
          <w:highlight w:val="white"/>
          <w:shd w:val="clear" w:color="auto" w:fill="ffffff"/>
        </w:rPr>
        <w:t xml:space="preserve">136 0703 </w:t>
      </w:r>
      <w:r>
        <w:rPr>
          <w:highlight w:val="white"/>
        </w:rPr>
        <w:t xml:space="preserve">07.3.01.00590 621</w:t>
      </w:r>
      <w:r>
        <w:rPr>
          <w:color w:val="000000"/>
          <w:szCs w:val="28"/>
          <w:highlight w:val="white"/>
          <w:shd w:val="clear" w:color="auto" w:fill="ffffff"/>
        </w:rPr>
        <w:t xml:space="preserve">:</w:t>
      </w:r>
      <w:r>
        <w:rPr>
          <w:color w:val="000000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  <w:highlight w:val="white"/>
          <w:shd w:val="clear" w:color="auto" w:fill="ffffff"/>
        </w:rPr>
        <w:t xml:space="preserve">– на 2026 год </w:t>
      </w:r>
      <w:r>
        <w:rPr>
          <w:color w:val="000000"/>
          <w:szCs w:val="28"/>
        </w:rPr>
        <w:t xml:space="preserve">в размере 622 271,6 тыс. руб. (ЛБО по состоянию на 24.06.2026 588 094,8 тыс. руб.);</w:t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– на </w:t>
      </w:r>
      <w:r>
        <w:rPr>
          <w:color w:val="000000"/>
          <w:szCs w:val="28"/>
          <w:highlight w:val="white"/>
        </w:rPr>
        <w:t xml:space="preserve">2027</w:t>
      </w:r>
      <w:r>
        <w:rPr>
          <w:color w:val="000000"/>
          <w:szCs w:val="28"/>
          <w:highlight w:val="white"/>
          <w:shd w:val="clear" w:color="auto" w:fill="ffffff"/>
        </w:rPr>
        <w:t xml:space="preserve"> год </w:t>
      </w:r>
      <w:r>
        <w:rPr>
          <w:color w:val="000000"/>
          <w:szCs w:val="28"/>
        </w:rPr>
        <w:t xml:space="preserve">в размере 650 136,6 тыс. руб. </w:t>
      </w:r>
      <w:r>
        <w:rPr>
          <w:color w:val="000000"/>
          <w:szCs w:val="28"/>
          <w:highlight w:val="white"/>
        </w:rPr>
        <w:t xml:space="preserve">(ЛБО по состоянию на 24.06.2026 </w:t>
      </w:r>
      <w:r>
        <w:rPr>
          <w:color w:val="000000"/>
          <w:szCs w:val="28"/>
        </w:rPr>
        <w:t xml:space="preserve">568 581,6 </w:t>
      </w:r>
      <w:r>
        <w:rPr>
          <w:color w:val="000000"/>
          <w:szCs w:val="28"/>
          <w:highlight w:val="white"/>
        </w:rPr>
        <w:t xml:space="preserve">тыс. руб.)</w:t>
      </w:r>
      <w:r>
        <w:rPr>
          <w:color w:val="000000"/>
          <w:szCs w:val="28"/>
        </w:rPr>
        <w:t xml:space="preserve">;</w:t>
      </w:r>
      <w:r>
        <w:rPr>
          <w:color w:val="000000"/>
          <w:szCs w:val="28"/>
        </w:rPr>
      </w:r>
    </w:p>
    <w:p>
      <w:pPr>
        <w:ind w:firstLine="709"/>
        <w:jc w:val="both"/>
        <w:rPr>
          <w:szCs w:val="28"/>
          <w:highlight w:val="yellow"/>
        </w:rPr>
      </w:pPr>
      <w:r>
        <w:rPr>
          <w:color w:val="000000"/>
          <w:szCs w:val="28"/>
        </w:rPr>
        <w:t xml:space="preserve">– на</w:t>
      </w:r>
      <w:r>
        <w:rPr>
          <w:color w:val="000000"/>
          <w:szCs w:val="28"/>
          <w:highlight w:val="white"/>
        </w:rPr>
        <w:t xml:space="preserve"> 2028 год</w:t>
      </w:r>
      <w:r>
        <w:rPr>
          <w:color w:val="000000"/>
          <w:szCs w:val="28"/>
          <w:highlight w:val="white"/>
          <w:shd w:val="clear" w:color="auto" w:fill="ffffff"/>
        </w:rPr>
        <w:t xml:space="preserve"> </w:t>
      </w:r>
      <w:r>
        <w:rPr>
          <w:color w:val="000000"/>
          <w:szCs w:val="28"/>
        </w:rPr>
        <w:t xml:space="preserve">в размере 6</w:t>
      </w:r>
      <w:r>
        <w:rPr>
          <w:color w:val="000000"/>
          <w:szCs w:val="28"/>
        </w:rPr>
        <w:t xml:space="preserve">80 434,4 тыс. руб.</w:t>
      </w:r>
      <w:r>
        <w:rPr>
          <w:szCs w:val="28"/>
        </w:rPr>
        <w:t xml:space="preserve"> </w:t>
      </w:r>
      <w:r>
        <w:rPr>
          <w:color w:val="000000"/>
          <w:szCs w:val="28"/>
          <w:highlight w:val="white"/>
        </w:rPr>
        <w:t xml:space="preserve">(ЛБО по состоянию на 24.06.2026 </w:t>
      </w:r>
      <w:r>
        <w:rPr>
          <w:color w:val="000000"/>
          <w:szCs w:val="28"/>
        </w:rPr>
        <w:t xml:space="preserve">587 547,0 </w:t>
      </w:r>
      <w:r>
        <w:rPr>
          <w:color w:val="000000"/>
          <w:szCs w:val="28"/>
          <w:highlight w:val="white"/>
        </w:rPr>
        <w:t xml:space="preserve">тыс. руб.)</w:t>
      </w:r>
      <w:r>
        <w:rPr>
          <w:szCs w:val="28"/>
        </w:rPr>
        <w:t xml:space="preserve">.</w:t>
      </w:r>
      <w:r>
        <w:rPr>
          <w:szCs w:val="28"/>
          <w:highlight w:val="yellow"/>
        </w:rPr>
      </w:r>
    </w:p>
    <w:p>
      <w:pPr>
        <w:ind w:firstLine="709"/>
        <w:jc w:val="both"/>
      </w:pPr>
      <w:r>
        <w:rPr>
          <w:szCs w:val="28"/>
        </w:rPr>
        <w:t xml:space="preserve">В соответствии с </w:t>
      </w:r>
      <w:r>
        <w:rPr>
          <w:color w:val="000000"/>
          <w:szCs w:val="28"/>
        </w:rPr>
        <w:t xml:space="preserve">расходным обязательством</w:t>
      </w:r>
      <w:r>
        <w:rPr>
          <w:szCs w:val="28"/>
        </w:rPr>
        <w:t xml:space="preserve"> «Оказание услуг по профессиональной подготовке, переподготовке и повышению квалификации образовательными учреждениями, приобретение имущества</w:t>
      </w:r>
      <w:r>
        <w:rPr>
          <w:szCs w:val="28"/>
        </w:rPr>
        <w:t xml:space="preserve">, проведение капитального ремонта связанных с обеспечением деятельности данных учреждений»</w:t>
      </w:r>
      <w:r>
        <w:rPr>
          <w:szCs w:val="28"/>
        </w:rPr>
        <w:t xml:space="preserve"> </w:t>
      </w:r>
      <w:r>
        <w:rPr>
          <w:szCs w:val="28"/>
          <w:highlight w:val="white"/>
        </w:rPr>
        <w:t xml:space="preserve">в рамках текущей деятельности подведомственных министерству </w:t>
      </w:r>
      <w:r>
        <w:rPr>
          <w:szCs w:val="28"/>
          <w:shd w:val="clear" w:color="auto" w:fill="ffffff"/>
        </w:rPr>
        <w:t xml:space="preserve">образования Новосибирской области</w:t>
      </w:r>
      <w:r>
        <w:rPr>
          <w:szCs w:val="28"/>
          <w:highlight w:val="white"/>
        </w:rPr>
        <w:t xml:space="preserve"> учреждений за счет средств субсидии на выполнение государственного зада</w:t>
      </w:r>
      <w:r>
        <w:rPr>
          <w:szCs w:val="28"/>
          <w:highlight w:val="white"/>
        </w:rPr>
        <w:t xml:space="preserve">ния </w:t>
      </w:r>
      <w:r>
        <w:rPr>
          <w:szCs w:val="28"/>
          <w:highlight w:val="white"/>
        </w:rPr>
        <w:t xml:space="preserve">по КБК 136 0705 07.3.02.00590 621</w:t>
      </w:r>
      <w:r>
        <w:rPr>
          <w:color w:val="000000"/>
          <w:szCs w:val="28"/>
          <w:highlight w:val="white"/>
          <w:shd w:val="clear" w:color="auto" w:fill="ffffff"/>
        </w:rPr>
        <w:t xml:space="preserve">:</w:t>
      </w:r>
      <w:r/>
    </w:p>
    <w:p>
      <w:pPr>
        <w:ind w:firstLine="709"/>
        <w:jc w:val="both"/>
        <w:rPr>
          <w:szCs w:val="28"/>
          <w:highlight w:val="yellow"/>
        </w:rPr>
      </w:pPr>
      <w:r>
        <w:rPr>
          <w:color w:val="000000"/>
          <w:szCs w:val="28"/>
          <w:highlight w:val="white"/>
          <w:shd w:val="clear" w:color="auto" w:fill="ffffff"/>
        </w:rPr>
        <w:t xml:space="preserve">– на 2026 год в размере</w:t>
      </w:r>
      <w:r>
        <w:rPr>
          <w:szCs w:val="28"/>
          <w:highlight w:val="white"/>
        </w:rPr>
        <w:t xml:space="preserve"> 193 435,3 </w:t>
      </w:r>
      <w:r>
        <w:rPr>
          <w:szCs w:val="28"/>
          <w:shd w:val="clear" w:color="auto" w:fill="ffffff"/>
        </w:rPr>
        <w:t xml:space="preserve">тыс. руб.</w:t>
      </w:r>
      <w:r>
        <w:rPr>
          <w:szCs w:val="28"/>
        </w:rPr>
        <w:t xml:space="preserve"> (ЛБО по состоянию на 24.06.2026 183 423,0 тыс. руб.);</w:t>
      </w:r>
      <w:r>
        <w:rPr>
          <w:szCs w:val="28"/>
          <w:highlight w:val="yellow"/>
        </w:rPr>
      </w:r>
    </w:p>
    <w:p>
      <w:pPr>
        <w:ind w:firstLine="709"/>
        <w:jc w:val="both"/>
        <w:tabs>
          <w:tab w:val="left" w:pos="570" w:leader="none"/>
          <w:tab w:val="left" w:pos="705" w:leader="none"/>
        </w:tabs>
        <w:rPr>
          <w:color w:val="000000"/>
        </w:rPr>
      </w:pPr>
      <w:r>
        <w:rPr>
          <w:color w:val="000000"/>
          <w:szCs w:val="28"/>
        </w:rPr>
        <w:t xml:space="preserve">–</w:t>
      </w:r>
      <w:r>
        <w:t xml:space="preserve"> </w:t>
      </w:r>
      <w:r>
        <w:rPr>
          <w:color w:val="000000"/>
          <w:szCs w:val="28"/>
        </w:rPr>
        <w:t xml:space="preserve">на </w:t>
      </w:r>
      <w:r>
        <w:rPr>
          <w:color w:val="000000"/>
          <w:szCs w:val="28"/>
          <w:highlight w:val="white"/>
        </w:rPr>
        <w:t xml:space="preserve">2027 год</w:t>
      </w:r>
      <w:r>
        <w:rPr>
          <w:color w:val="000000"/>
          <w:szCs w:val="28"/>
        </w:rPr>
        <w:t xml:space="preserve"> в размере 206 696,2 тыс. руб. </w:t>
      </w:r>
      <w:r>
        <w:rPr>
          <w:color w:val="000000"/>
          <w:szCs w:val="28"/>
          <w:highlight w:val="white"/>
        </w:rPr>
        <w:t xml:space="preserve">(ЛБО по состоянию на 24.06.2026 </w:t>
      </w:r>
      <w:r>
        <w:rPr>
          <w:color w:val="000000"/>
          <w:szCs w:val="28"/>
        </w:rPr>
        <w:t xml:space="preserve">181 030,6 </w:t>
      </w:r>
      <w:r>
        <w:rPr>
          <w:color w:val="000000"/>
          <w:szCs w:val="28"/>
          <w:highlight w:val="white"/>
        </w:rPr>
        <w:t xml:space="preserve">тыс. руб.)</w:t>
      </w:r>
      <w:r>
        <w:t xml:space="preserve">;</w:t>
      </w:r>
      <w:r>
        <w:rPr>
          <w:color w:val="000000"/>
        </w:rPr>
      </w:r>
    </w:p>
    <w:p>
      <w:pPr>
        <w:ind w:firstLine="709"/>
        <w:jc w:val="both"/>
        <w:rPr>
          <w:szCs w:val="28"/>
          <w:highlight w:val="yellow"/>
        </w:rPr>
      </w:pPr>
      <w:r>
        <w:rPr>
          <w:color w:val="000000"/>
          <w:szCs w:val="28"/>
        </w:rPr>
        <w:t xml:space="preserve">– на</w:t>
      </w:r>
      <w:r>
        <w:rPr>
          <w:color w:val="000000"/>
          <w:szCs w:val="28"/>
          <w:highlight w:val="white"/>
        </w:rPr>
        <w:t xml:space="preserve"> 2028 год</w:t>
      </w:r>
      <w:r>
        <w:rPr>
          <w:szCs w:val="28"/>
        </w:rPr>
        <w:t xml:space="preserve"> в размере 221 356,1 тыс. руб. </w:t>
      </w:r>
      <w:r>
        <w:rPr>
          <w:color w:val="000000"/>
          <w:szCs w:val="28"/>
          <w:highlight w:val="white"/>
        </w:rPr>
        <w:t xml:space="preserve">(ЛБО по состоянию на 24.06.2026 </w:t>
      </w:r>
      <w:r>
        <w:rPr>
          <w:color w:val="000000"/>
          <w:szCs w:val="28"/>
        </w:rPr>
        <w:t xml:space="preserve">191 975,0 </w:t>
      </w:r>
      <w:r>
        <w:rPr>
          <w:color w:val="000000"/>
          <w:szCs w:val="28"/>
          <w:highlight w:val="white"/>
        </w:rPr>
        <w:t xml:space="preserve">тыс. руб.)</w:t>
      </w:r>
      <w:r>
        <w:rPr>
          <w:szCs w:val="28"/>
        </w:rPr>
        <w:t xml:space="preserve">.</w:t>
      </w:r>
      <w:r>
        <w:rPr>
          <w:szCs w:val="28"/>
          <w:highlight w:val="yellow"/>
        </w:rPr>
      </w:r>
    </w:p>
    <w:p>
      <w:pPr>
        <w:ind w:firstLine="709"/>
        <w:jc w:val="both"/>
        <w:rPr>
          <w:color w:val="000000"/>
        </w:rPr>
      </w:pPr>
      <w:r>
        <w:rPr>
          <w:szCs w:val="28"/>
        </w:rPr>
        <w:t xml:space="preserve">В соответствии с </w:t>
      </w:r>
      <w:r>
        <w:rPr>
          <w:color w:val="000000"/>
          <w:szCs w:val="28"/>
        </w:rPr>
        <w:t xml:space="preserve">расходным обязательством</w:t>
      </w:r>
      <w:r>
        <w:rPr>
          <w:szCs w:val="28"/>
          <w:highlight w:val="white"/>
        </w:rPr>
        <w:t xml:space="preserve"> «Оказание услуг и приобретение имущества средними профессиональными образовательными учреждениям, проведение капитального ремонта</w:t>
      </w:r>
      <w:r>
        <w:rPr>
          <w:szCs w:val="28"/>
          <w:highlight w:val="white"/>
        </w:rPr>
        <w:t xml:space="preserve"> связанного с обеспечением деятельности данных учреждений»</w:t>
      </w:r>
      <w:r>
        <w:rPr>
          <w:rStyle w:val="916"/>
          <w:color w:val="000000"/>
          <w:szCs w:val="28"/>
        </w:rPr>
        <w:footnoteReference w:id="4"/>
      </w:r>
      <w:r>
        <w:rPr>
          <w:rStyle w:val="916"/>
          <w:color w:val="000000"/>
          <w:szCs w:val="28"/>
          <w:vertAlign w:val="baseline"/>
        </w:rPr>
        <w:t xml:space="preserve"> </w:t>
      </w:r>
      <w:r>
        <w:rPr>
          <w:color w:val="000000"/>
          <w:szCs w:val="28"/>
          <w:highlight w:val="white"/>
        </w:rPr>
        <w:t xml:space="preserve">в рамках текущей деятельности подведомственных министерству </w:t>
      </w:r>
      <w:r>
        <w:rPr>
          <w:szCs w:val="28"/>
          <w:shd w:val="clear" w:color="auto" w:fill="ffffff"/>
        </w:rPr>
        <w:t xml:space="preserve">образования Новосибирской области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  <w:highlight w:val="white"/>
        </w:rPr>
        <w:t xml:space="preserve">учреждений за счет средств субсидии на выполнение государственного задания:</w:t>
      </w:r>
      <w:r>
        <w:rPr>
          <w:color w:val="000000"/>
        </w:rPr>
      </w:r>
    </w:p>
    <w:p>
      <w:pPr>
        <w:ind w:firstLine="709"/>
        <w:jc w:val="both"/>
        <w:tabs>
          <w:tab w:val="left" w:pos="570" w:leader="none"/>
          <w:tab w:val="left" w:pos="705" w:leader="none"/>
          <w:tab w:val="left" w:pos="720" w:leader="none"/>
        </w:tabs>
      </w:pPr>
      <w:r>
        <w:rPr>
          <w:color w:val="000000"/>
          <w:szCs w:val="28"/>
          <w:highlight w:val="white"/>
        </w:rPr>
        <w:t xml:space="preserve">по КБК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  <w:highlight w:val="white"/>
        </w:rPr>
        <w:t xml:space="preserve">136 0704 06.3.01.00</w:t>
      </w:r>
      <w:r>
        <w:rPr>
          <w:color w:val="000000"/>
          <w:szCs w:val="28"/>
          <w:highlight w:val="white"/>
        </w:rPr>
        <w:t xml:space="preserve">590 611</w:t>
      </w:r>
      <w:r>
        <w:rPr>
          <w:color w:val="000000"/>
          <w:szCs w:val="28"/>
          <w:highlight w:val="white"/>
          <w:shd w:val="clear" w:color="auto" w:fill="ffffff"/>
        </w:rPr>
        <w:t xml:space="preserve"> в пределах общего объема бюджетных ассигнований:</w:t>
      </w:r>
      <w:r/>
    </w:p>
    <w:p>
      <w:pPr>
        <w:ind w:firstLine="709"/>
        <w:jc w:val="both"/>
        <w:tabs>
          <w:tab w:val="left" w:pos="570" w:leader="none"/>
          <w:tab w:val="left" w:pos="705" w:leader="none"/>
        </w:tabs>
        <w:rPr>
          <w:color w:val="000000"/>
          <w:szCs w:val="28"/>
        </w:rPr>
      </w:pPr>
      <w:r>
        <w:rPr>
          <w:color w:val="000000"/>
          <w:szCs w:val="28"/>
          <w:highlight w:val="white"/>
          <w:shd w:val="clear" w:color="auto" w:fill="ffffff"/>
        </w:rPr>
        <w:t xml:space="preserve">– на 2026 год </w:t>
      </w:r>
      <w:r>
        <w:rPr>
          <w:color w:val="000000"/>
          <w:szCs w:val="28"/>
          <w:highlight w:val="white"/>
        </w:rPr>
        <w:t xml:space="preserve">в размере 4 540 616,6 тыс. руб. (ЛБО по состоянию на 24.06.2026 4 276 595,9 тыс. руб.);</w:t>
      </w:r>
      <w:r>
        <w:rPr>
          <w:color w:val="000000"/>
          <w:szCs w:val="28"/>
        </w:rPr>
      </w:r>
    </w:p>
    <w:p>
      <w:pPr>
        <w:ind w:firstLine="709"/>
        <w:jc w:val="both"/>
        <w:tabs>
          <w:tab w:val="left" w:pos="570" w:leader="none"/>
          <w:tab w:val="left" w:pos="705" w:leader="none"/>
        </w:tabs>
      </w:pPr>
      <w:r>
        <w:rPr>
          <w:color w:val="000000"/>
          <w:szCs w:val="28"/>
        </w:rPr>
        <w:t xml:space="preserve">– на </w:t>
      </w:r>
      <w:r>
        <w:rPr>
          <w:color w:val="000000"/>
          <w:szCs w:val="28"/>
          <w:highlight w:val="white"/>
        </w:rPr>
        <w:t xml:space="preserve">2027 год</w:t>
      </w:r>
      <w:r>
        <w:rPr>
          <w:color w:val="000000"/>
          <w:szCs w:val="28"/>
        </w:rPr>
        <w:t xml:space="preserve"> в размере 4 934 624,7 тыс. руб. </w:t>
      </w:r>
      <w:r>
        <w:rPr>
          <w:color w:val="000000"/>
          <w:szCs w:val="28"/>
          <w:highlight w:val="white"/>
        </w:rPr>
        <w:t xml:space="preserve">(ЛБО по состоянию на 24.06.2026 </w:t>
      </w:r>
      <w:r>
        <w:rPr>
          <w:color w:val="000000"/>
          <w:szCs w:val="28"/>
        </w:rPr>
        <w:t xml:space="preserve">4 324 823,7 </w:t>
      </w:r>
      <w:r>
        <w:rPr>
          <w:color w:val="000000"/>
          <w:szCs w:val="28"/>
          <w:highlight w:val="white"/>
        </w:rPr>
        <w:t xml:space="preserve">тыс. ру</w:t>
      </w:r>
      <w:r>
        <w:rPr>
          <w:color w:val="000000"/>
          <w:szCs w:val="28"/>
          <w:highlight w:val="white"/>
        </w:rPr>
        <w:t xml:space="preserve">б.)</w:t>
      </w:r>
      <w:r>
        <w:rPr>
          <w:color w:val="000000"/>
          <w:szCs w:val="28"/>
        </w:rPr>
        <w:t xml:space="preserve">;</w:t>
      </w:r>
      <w:r/>
    </w:p>
    <w:p>
      <w:pPr>
        <w:ind w:firstLine="709"/>
        <w:jc w:val="both"/>
        <w:tabs>
          <w:tab w:val="left" w:pos="570" w:leader="none"/>
          <w:tab w:val="left" w:pos="705" w:leader="none"/>
        </w:tabs>
      </w:pPr>
      <w:r>
        <w:rPr>
          <w:color w:val="000000"/>
          <w:szCs w:val="28"/>
        </w:rPr>
        <w:t xml:space="preserve">– на</w:t>
      </w:r>
      <w:r>
        <w:rPr>
          <w:color w:val="000000"/>
          <w:szCs w:val="28"/>
          <w:highlight w:val="white"/>
        </w:rPr>
        <w:t xml:space="preserve"> 2028 год</w:t>
      </w:r>
      <w:r>
        <w:rPr>
          <w:color w:val="000000"/>
          <w:szCs w:val="28"/>
        </w:rPr>
        <w:t xml:space="preserve"> в размере 5 184 197,6 тыс. руб. </w:t>
      </w:r>
      <w:r>
        <w:rPr>
          <w:color w:val="000000"/>
          <w:szCs w:val="28"/>
          <w:highlight w:val="white"/>
        </w:rPr>
        <w:t xml:space="preserve">(ЛБО по состоянию на 24.06.2026 </w:t>
      </w:r>
      <w:r>
        <w:rPr>
          <w:color w:val="000000"/>
          <w:szCs w:val="28"/>
        </w:rPr>
        <w:t xml:space="preserve">4 496 322,9 </w:t>
      </w:r>
      <w:r>
        <w:rPr>
          <w:color w:val="000000"/>
          <w:szCs w:val="28"/>
          <w:highlight w:val="white"/>
        </w:rPr>
        <w:t xml:space="preserve">тыс. руб.)</w:t>
      </w:r>
      <w:r>
        <w:rPr>
          <w:color w:val="000000"/>
          <w:szCs w:val="28"/>
        </w:rPr>
        <w:t xml:space="preserve">.</w:t>
      </w:r>
      <w:r/>
    </w:p>
    <w:p>
      <w:pPr>
        <w:ind w:firstLine="709"/>
        <w:jc w:val="both"/>
        <w:tabs>
          <w:tab w:val="left" w:pos="567" w:leader="none"/>
        </w:tabs>
        <w:rPr>
          <w:color w:val="000000"/>
        </w:rPr>
      </w:pPr>
      <w:r>
        <w:rPr>
          <w:color w:val="000000"/>
          <w:szCs w:val="28"/>
          <w:highlight w:val="white"/>
        </w:rPr>
        <w:t xml:space="preserve">П</w:t>
      </w:r>
      <w:r>
        <w:rPr>
          <w:color w:val="000000"/>
          <w:szCs w:val="28"/>
          <w:highlight w:val="white"/>
        </w:rPr>
        <w:t xml:space="preserve">о КБК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  <w:highlight w:val="white"/>
        </w:rPr>
        <w:t xml:space="preserve">136 0704 06.3.01.00590 621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  <w:shd w:val="clear" w:color="auto" w:fill="ffffff"/>
        </w:rPr>
        <w:t xml:space="preserve">в пределах общего объема бюджетных ассигнований: </w:t>
      </w:r>
      <w:r>
        <w:rPr>
          <w:color w:val="000000"/>
        </w:rPr>
      </w:r>
    </w:p>
    <w:p>
      <w:pPr>
        <w:ind w:firstLine="709"/>
        <w:jc w:val="both"/>
        <w:tabs>
          <w:tab w:val="left" w:pos="425" w:leader="none"/>
          <w:tab w:val="left" w:pos="567" w:leader="none"/>
        </w:tabs>
        <w:rPr>
          <w:color w:val="000000"/>
        </w:rPr>
      </w:pPr>
      <w:r>
        <w:rPr>
          <w:color w:val="000000"/>
          <w:szCs w:val="28"/>
          <w:highlight w:val="white"/>
          <w:shd w:val="clear" w:color="auto" w:fill="ffffff"/>
        </w:rPr>
        <w:t xml:space="preserve">– на 2026 год </w:t>
      </w:r>
      <w:r>
        <w:rPr>
          <w:color w:val="000000"/>
          <w:szCs w:val="28"/>
          <w:highlight w:val="white"/>
        </w:rPr>
        <w:t xml:space="preserve">в размере 1 957 934,9 тыс. руб. (ЛБО по состоянию н</w:t>
      </w:r>
      <w:r>
        <w:rPr>
          <w:color w:val="000000"/>
          <w:szCs w:val="28"/>
          <w:highlight w:val="white"/>
        </w:rPr>
        <w:t xml:space="preserve">а 24.06.2026 1 866 977,6 тыс. руб.);</w:t>
      </w:r>
      <w:r>
        <w:rPr>
          <w:color w:val="000000"/>
        </w:rPr>
      </w:r>
    </w:p>
    <w:p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szCs w:val="28"/>
        </w:rPr>
        <w:t xml:space="preserve">– на</w:t>
      </w:r>
      <w:r>
        <w:rPr>
          <w:color w:val="000000"/>
          <w:szCs w:val="28"/>
          <w:highlight w:val="white"/>
        </w:rPr>
        <w:t xml:space="preserve"> 2027 год</w:t>
      </w:r>
      <w:r>
        <w:rPr>
          <w:color w:val="000000"/>
        </w:rPr>
        <w:t xml:space="preserve"> в размере 2 086 103,7 тыс. руб. </w:t>
      </w:r>
      <w:r>
        <w:rPr>
          <w:color w:val="000000"/>
          <w:szCs w:val="28"/>
          <w:highlight w:val="white"/>
        </w:rPr>
        <w:t xml:space="preserve">(ЛБО по состоянию на 24.06.2026 1 836 447</w:t>
      </w:r>
      <w:r>
        <w:rPr>
          <w:color w:val="000000"/>
          <w:szCs w:val="28"/>
        </w:rPr>
        <w:t xml:space="preserve">,8</w:t>
      </w:r>
      <w:r>
        <w:rPr>
          <w:color w:val="000000"/>
          <w:szCs w:val="28"/>
          <w:highlight w:val="white"/>
        </w:rPr>
        <w:t xml:space="preserve"> тыс. руб.)</w:t>
      </w:r>
      <w:r>
        <w:t xml:space="preserve">;</w:t>
      </w:r>
      <w:r>
        <w:rPr>
          <w:color w:val="000000"/>
          <w:highlight w:val="white"/>
        </w:rPr>
      </w:r>
    </w:p>
    <w:p>
      <w:pPr>
        <w:ind w:firstLine="709"/>
        <w:jc w:val="both"/>
        <w:rPr>
          <w:color w:val="000000"/>
        </w:rPr>
      </w:pPr>
      <w:r>
        <w:rPr>
          <w:color w:val="000000"/>
          <w:szCs w:val="28"/>
        </w:rPr>
        <w:t xml:space="preserve">– </w:t>
      </w:r>
      <w:r>
        <w:rPr>
          <w:color w:val="000000"/>
          <w:szCs w:val="28"/>
          <w:highlight w:val="white"/>
        </w:rPr>
        <w:t xml:space="preserve">на 2028 год в размере 2 207 548,2 тыс. руб. (ЛБО по состоянию на 24.06.2026 1 914 581,8 тыс. руб.) </w:t>
      </w:r>
      <w:r>
        <w:rPr>
          <w:color w:val="000000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>
        <w:rPr>
          <w:color w:val="000000"/>
          <w:szCs w:val="28"/>
        </w:rPr>
        <w:t xml:space="preserve">расходным обязательством</w:t>
      </w:r>
      <w:r>
        <w:rPr>
          <w:highlight w:val="white"/>
        </w:rPr>
        <w:t xml:space="preserve"> «Оказание услуг по профессиональной подготовке, переподготовке и повышению квалификации образовательными учреждениями, приобретение имущества, проведение капитального ремонта связанных с обеспечением деятельности д</w:t>
      </w:r>
      <w:r>
        <w:rPr>
          <w:highlight w:val="white"/>
        </w:rPr>
        <w:t xml:space="preserve">анных учреждений»</w:t>
      </w:r>
      <w:r>
        <w:t xml:space="preserve"> </w:t>
      </w:r>
      <w:r>
        <w:rPr>
          <w:color w:val="000000"/>
          <w:szCs w:val="28"/>
          <w:highlight w:val="white"/>
        </w:rPr>
        <w:t xml:space="preserve">по КБК</w:t>
      </w:r>
      <w:r>
        <w:rPr>
          <w:color w:val="000000"/>
          <w:szCs w:val="28"/>
        </w:rPr>
        <w:t xml:space="preserve"> </w:t>
      </w:r>
      <w:r>
        <w:rPr>
          <w:color w:val="000000"/>
          <w:szCs w:val="28"/>
          <w:highlight w:val="white"/>
        </w:rPr>
        <w:t xml:space="preserve">136 0705 06.3.01.00590 611</w:t>
      </w:r>
      <w:r>
        <w:rPr>
          <w:color w:val="000000"/>
          <w:szCs w:val="28"/>
          <w:highlight w:val="white"/>
        </w:rPr>
        <w:t xml:space="preserve"> </w:t>
      </w:r>
      <w:r>
        <w:rPr>
          <w:color w:val="000000"/>
          <w:szCs w:val="28"/>
          <w:highlight w:val="white"/>
          <w:shd w:val="clear" w:color="auto" w:fill="ffffff"/>
        </w:rPr>
        <w:t xml:space="preserve">в пределах общего объема бюджетных ассигнований: </w:t>
      </w:r>
      <w:r>
        <w:rPr>
          <w:szCs w:val="28"/>
        </w:rPr>
      </w:r>
    </w:p>
    <w:p>
      <w:pPr>
        <w:ind w:firstLine="709"/>
        <w:jc w:val="both"/>
        <w:tabs>
          <w:tab w:val="left" w:pos="283" w:leader="none"/>
        </w:tabs>
        <w:rPr>
          <w:color w:val="000000"/>
        </w:rPr>
      </w:pPr>
      <w:r>
        <w:rPr>
          <w:color w:val="000000"/>
          <w:szCs w:val="28"/>
          <w:shd w:val="clear" w:color="auto" w:fill="ffffff"/>
        </w:rPr>
        <w:t xml:space="preserve">– на </w:t>
      </w:r>
      <w:r>
        <w:rPr>
          <w:color w:val="000000"/>
          <w:szCs w:val="28"/>
          <w:highlight w:val="white"/>
          <w:shd w:val="clear" w:color="auto" w:fill="ffffff"/>
        </w:rPr>
        <w:t xml:space="preserve">2026 год </w:t>
      </w:r>
      <w:r>
        <w:rPr>
          <w:color w:val="000000"/>
          <w:szCs w:val="28"/>
          <w:highlight w:val="white"/>
        </w:rPr>
        <w:t xml:space="preserve">в размере 208 576, 0 тыс. руб. (ЛБО по состоянию на 24.06.2026 199 243,9 тыс. руб.)</w:t>
      </w:r>
      <w:r>
        <w:rPr>
          <w:color w:val="000000"/>
          <w:szCs w:val="28"/>
        </w:rPr>
        <w:t xml:space="preserve">;</w:t>
      </w:r>
      <w:r>
        <w:rPr>
          <w:color w:val="000000"/>
        </w:rPr>
      </w:r>
    </w:p>
    <w:p>
      <w:pPr>
        <w:ind w:firstLine="709"/>
        <w:jc w:val="both"/>
        <w:tabs>
          <w:tab w:val="left" w:pos="283" w:leader="none"/>
        </w:tabs>
        <w:rPr>
          <w:color w:val="000000"/>
        </w:rPr>
      </w:pPr>
      <w:r>
        <w:rPr>
          <w:color w:val="000000"/>
          <w:szCs w:val="28"/>
        </w:rPr>
        <w:t xml:space="preserve">– на 2027 год в размере 220 067, 8 тыс. руб. </w:t>
      </w:r>
      <w:r>
        <w:rPr>
          <w:color w:val="000000"/>
          <w:szCs w:val="28"/>
          <w:highlight w:val="white"/>
        </w:rPr>
        <w:t xml:space="preserve">(ЛБО по со</w:t>
      </w:r>
      <w:r>
        <w:rPr>
          <w:color w:val="000000"/>
          <w:szCs w:val="28"/>
          <w:highlight w:val="white"/>
        </w:rPr>
        <w:t xml:space="preserve">стоянию на 24.06.2026 192 691,2 тыс. руб.)</w:t>
      </w:r>
      <w:r>
        <w:rPr>
          <w:color w:val="000000"/>
          <w:szCs w:val="28"/>
        </w:rPr>
        <w:t xml:space="preserve">;</w:t>
      </w:r>
      <w:r>
        <w:rPr>
          <w:color w:val="000000"/>
        </w:rPr>
      </w:r>
    </w:p>
    <w:p>
      <w:pPr>
        <w:ind w:firstLine="709"/>
        <w:jc w:val="both"/>
        <w:tabs>
          <w:tab w:val="left" w:pos="283" w:leader="none"/>
        </w:tabs>
        <w:rPr>
          <w:color w:val="000000"/>
        </w:rPr>
      </w:pPr>
      <w:r>
        <w:rPr>
          <w:color w:val="000000"/>
          <w:szCs w:val="28"/>
        </w:rPr>
        <w:t xml:space="preserve">– на 2028 год в размере 231 711,4 тыс. руб. </w:t>
      </w:r>
      <w:r>
        <w:rPr>
          <w:color w:val="000000"/>
          <w:szCs w:val="28"/>
          <w:highlight w:val="white"/>
        </w:rPr>
        <w:t xml:space="preserve">(ЛБО по состоянию на 24.06.2026 200 994,3 тыс. руб.)</w:t>
      </w:r>
      <w:r>
        <w:rPr>
          <w:color w:val="000000"/>
          <w:szCs w:val="28"/>
        </w:rPr>
        <w:t xml:space="preserve">.</w:t>
      </w:r>
      <w:r>
        <w:rPr>
          <w:color w:val="000000"/>
        </w:rPr>
      </w:r>
    </w:p>
    <w:p>
      <w:pPr>
        <w:ind w:firstLine="709"/>
        <w:jc w:val="both"/>
        <w:spacing w:line="233" w:lineRule="auto"/>
      </w:pPr>
      <w:r/>
      <w:r/>
    </w:p>
    <w:p>
      <w:pPr>
        <w:ind w:firstLine="709"/>
        <w:jc w:val="both"/>
      </w:pPr>
      <w:r>
        <w:rPr>
          <w:color w:val="000000"/>
          <w:szCs w:val="28"/>
          <w:shd w:val="clear" w:color="auto" w:fill="ffffff"/>
        </w:rPr>
        <w:t xml:space="preserve">Реализация закона будет осуществляться</w:t>
      </w:r>
      <w:r>
        <w:rPr>
          <w:szCs w:val="28"/>
        </w:rPr>
        <w:t xml:space="preserve"> </w:t>
      </w:r>
      <w:r>
        <w:rPr>
          <w:b/>
          <w:bCs/>
        </w:rPr>
        <w:t xml:space="preserve">министерством культуры Новосибирской области</w:t>
      </w:r>
      <w:r>
        <w:rPr>
          <w:bCs/>
        </w:rPr>
        <w:t xml:space="preserve"> путем проведения тематических</w:t>
      </w:r>
      <w:r>
        <w:rPr>
          <w:bCs/>
        </w:rPr>
        <w:t xml:space="preserve"> мероприятий по </w:t>
      </w:r>
      <w:r>
        <w:rPr>
          <w:bCs/>
        </w:rPr>
        <w:t xml:space="preserve">увековечению памяти жертв геноцида советского народа государственными библиотеками, музеями, дворцами и домами культуры, другими учреждениями культуры в рамках государственного задания в соответствии с полномочиями Новосибирской области: «С</w:t>
      </w:r>
      <w:r>
        <w:rPr>
          <w:bCs/>
        </w:rPr>
        <w:t xml:space="preserve">оздание и поддержка учреждений культуры и искусства (за исключением федеральных государственных учреждений культуры и искусства, перечень которых утверждается уполномоченным Правительством Российской Федерации федеральным органом исполнительной власти)» (1</w:t>
      </w:r>
      <w:r>
        <w:rPr>
          <w:bCs/>
        </w:rPr>
        <w:t xml:space="preserve">01010051),</w:t>
      </w:r>
      <w:r>
        <w:t xml:space="preserve"> «</w:t>
      </w:r>
      <w:r>
        <w:rPr>
          <w:bCs/>
        </w:rPr>
        <w:t xml:space="preserve">Организация библиотечного обслуживания населения библиотеками субъекта Российской Федерации, комплектования и обеспечения сохранности их библиотечных фондов» (101010049), «Создание и поддержка государственных музеев (за исключением федеральных </w:t>
      </w:r>
      <w:r>
        <w:rPr>
          <w:bCs/>
        </w:rPr>
        <w:t xml:space="preserve">государственных музеев, перечень которых утверждается Правительством Российской Федерации)» (101010050)</w:t>
      </w:r>
      <w:r>
        <w:t xml:space="preserve"> </w:t>
      </w:r>
      <w:r>
        <w:rPr>
          <w:bCs/>
        </w:rPr>
        <w:t xml:space="preserve">в пределах бюджетных ассигнований, предусмотренных министерству культуры Новосибирской области Законом НСО от 19.12.2025 № 37-ОЗ</w:t>
      </w:r>
      <w:r>
        <w:rPr>
          <w:bCs/>
        </w:rPr>
        <w:t xml:space="preserve"> и доведенных министерс</w:t>
      </w:r>
      <w:r>
        <w:rPr>
          <w:bCs/>
        </w:rPr>
        <w:t xml:space="preserve">тву культуры Новосибирской области ЛБО на 2026-2028 годы</w:t>
      </w:r>
      <w:r>
        <w:rPr>
          <w:rStyle w:val="916"/>
          <w:bCs/>
        </w:rPr>
        <w:footnoteReference w:id="5"/>
      </w:r>
      <w:r>
        <w:rPr>
          <w:bCs/>
        </w:rPr>
        <w:t xml:space="preserve"> по направлению расходов «Финансовое обеспечение деятельности (оказание услуг) государственных учреждений»:</w:t>
      </w:r>
      <w:r/>
    </w:p>
    <w:p>
      <w:pPr>
        <w:ind w:firstLine="709"/>
        <w:jc w:val="both"/>
      </w:pPr>
      <w:r>
        <w:t xml:space="preserve">В соответствии с расходным обязательством «</w:t>
      </w:r>
      <w:r>
        <w:t xml:space="preserve">Оказание услуг дворцами и домами культуры, друг</w:t>
      </w:r>
      <w:r>
        <w:t xml:space="preserve">ими учреждениями культуры и приобретение имущества, проведение капитального ремонта, связанных с обеспечением деятельности данных учреждений» (131000005) по КБК 131 0801 11.3.01.00590 621: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2026 год в сумме 537 719,6 тыс. руб.</w:t>
      </w:r>
      <w:r>
        <w:rPr>
          <w:rFonts w:eastAsia="Calibri"/>
          <w:lang w:eastAsia="en-US"/>
        </w:rPr>
        <w:t xml:space="preserve"> (в том числе в пределах доведенных ЛБО – 488 954,5 тыс.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2027 год в сумме 584 999,5 тыс. руб.</w:t>
      </w:r>
      <w:r>
        <w:rPr>
          <w:rFonts w:eastAsia="Calibri"/>
          <w:lang w:eastAsia="en-US"/>
        </w:rPr>
        <w:t xml:space="preserve"> (в том числе в пределах доведенных ЛБО – 512 103,6 тыс.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2028 год в сумме 623 170,4 тыс. руб.</w:t>
      </w:r>
      <w:r>
        <w:rPr>
          <w:rFonts w:eastAsia="Calibri"/>
          <w:lang w:eastAsia="en-US"/>
        </w:rPr>
        <w:t xml:space="preserve"> (в том числе в пределах доведенных ЛБО – </w:t>
      </w:r>
      <w:r>
        <w:rPr>
          <w:rFonts w:eastAsia="Calibri"/>
          <w:lang w:eastAsia="en-US"/>
        </w:rPr>
        <w:t xml:space="preserve">540 578,8 тыс. руб.)</w:t>
      </w:r>
      <w:r>
        <w:t xml:space="preserve">.</w:t>
      </w:r>
      <w:r/>
    </w:p>
    <w:p>
      <w:pPr>
        <w:ind w:firstLine="708"/>
        <w:jc w:val="both"/>
        <w:shd w:val="clear" w:color="ffffff" w:fill="ffffff"/>
      </w:pPr>
      <w:r>
        <w:rPr>
          <w:bCs/>
        </w:rPr>
        <w:t xml:space="preserve">В соответствии с расходным обязательством «Оказание услуг государственными библиотеками и приобретение имущества, проведение капитального ремонта, связанных с обеспечением деятельности данных учреждений» (131000007): </w:t>
      </w:r>
      <w:r/>
    </w:p>
    <w:p>
      <w:pPr>
        <w:ind w:firstLine="708"/>
        <w:jc w:val="both"/>
        <w:shd w:val="clear" w:color="ffffff" w:fill="ffffff"/>
      </w:pPr>
      <w:r>
        <w:rPr>
          <w:bCs/>
        </w:rPr>
        <w:t xml:space="preserve">по КБК </w:t>
      </w:r>
      <w:r>
        <w:t xml:space="preserve">131 0801 </w:t>
      </w:r>
      <w:r>
        <w:t xml:space="preserve">11.3.01.00590 611: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2026 год в сумме 263 811,0 тыс. руб.</w:t>
      </w:r>
      <w:r>
        <w:rPr>
          <w:rFonts w:eastAsia="Calibri"/>
          <w:lang w:eastAsia="en-US"/>
        </w:rPr>
        <w:t xml:space="preserve"> (в том числе в пределах доведенных ЛБО – 254 560,3 тыс.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2027 год в сумме 288 123,8 тыс. руб.</w:t>
      </w:r>
      <w:r>
        <w:rPr>
          <w:rFonts w:eastAsia="Calibri"/>
          <w:lang w:eastAsia="en-US"/>
        </w:rPr>
        <w:t xml:space="preserve"> (в том числе в пределах доведенных ЛБО – 251 986,3 тыс.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2028 год в сумме 308 7</w:t>
      </w:r>
      <w:r>
        <w:t xml:space="preserve">81,0 тыс. руб.</w:t>
      </w:r>
      <w:r>
        <w:rPr>
          <w:rFonts w:eastAsia="Calibri"/>
          <w:lang w:eastAsia="en-US"/>
        </w:rPr>
        <w:t xml:space="preserve"> (в том числе в пределах доведенных ЛБО – 267 796,6 тыс. руб.)</w:t>
      </w:r>
      <w:r>
        <w:t xml:space="preserve">.</w:t>
      </w:r>
      <w:r/>
    </w:p>
    <w:p>
      <w:pPr>
        <w:ind w:firstLine="709"/>
        <w:jc w:val="both"/>
      </w:pPr>
      <w:r>
        <w:rPr>
          <w:bCs/>
        </w:rPr>
        <w:t xml:space="preserve">по КБК</w:t>
      </w:r>
      <w:r>
        <w:t xml:space="preserve"> 131 0801 11.3.01.00590 621: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2026 год в сумме 269 008,7 тыс. руб.</w:t>
      </w:r>
      <w:r>
        <w:rPr>
          <w:rFonts w:eastAsia="Calibri"/>
          <w:lang w:eastAsia="en-US"/>
        </w:rPr>
        <w:t xml:space="preserve"> (в том числе в пределах доведенных ЛБО – 255 777,5 тыс.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2027 год в сумме 292 049,7 тыс. р</w:t>
      </w:r>
      <w:r>
        <w:t xml:space="preserve">уб.</w:t>
      </w:r>
      <w:r>
        <w:rPr>
          <w:rFonts w:eastAsia="Calibri"/>
          <w:lang w:eastAsia="en-US"/>
        </w:rPr>
        <w:t xml:space="preserve"> (в том числе в пределах доведенных ЛБО – 255 657,8 тыс.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2028 год в сумме 311 257,7 тыс. руб.</w:t>
      </w:r>
      <w:r>
        <w:rPr>
          <w:rFonts w:eastAsia="Calibri"/>
          <w:lang w:eastAsia="en-US"/>
        </w:rPr>
        <w:t xml:space="preserve"> (в том числе в пределах доведенных ЛБО – 270 005,3 тыс. руб.)</w:t>
      </w:r>
      <w:r>
        <w:t xml:space="preserve">.</w:t>
      </w:r>
      <w:r/>
    </w:p>
    <w:p>
      <w:pPr>
        <w:ind w:firstLine="708"/>
        <w:jc w:val="both"/>
        <w:shd w:val="clear" w:color="ffffff" w:fill="ffffff"/>
      </w:pPr>
      <w:r>
        <w:rPr>
          <w:bCs/>
        </w:rPr>
        <w:t xml:space="preserve">В соответствии с расходным обязательством «Оказание услуг государственными музеями и</w:t>
      </w:r>
      <w:r>
        <w:rPr>
          <w:bCs/>
        </w:rPr>
        <w:t xml:space="preserve"> приобретение имущества, проведение капитального ремонта, связанных с обеспечением деятельности данных учреждений» (131000006) по КБК </w:t>
      </w:r>
      <w:r>
        <w:t xml:space="preserve">131 0801 11.3.01.00590 621:</w:t>
      </w:r>
      <w:r/>
    </w:p>
    <w:p>
      <w:pPr>
        <w:ind w:firstLine="708"/>
        <w:jc w:val="both"/>
        <w:shd w:val="clear" w:color="ffffff" w:fill="ffffff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2026 год в сумме 489 628,1 тыс. руб.</w:t>
      </w:r>
      <w:r>
        <w:rPr>
          <w:rFonts w:eastAsia="Calibri"/>
          <w:lang w:eastAsia="en-US"/>
        </w:rPr>
        <w:t xml:space="preserve"> (в том числе в пределах доведенных ЛБО – 452 000,9 т</w:t>
      </w:r>
      <w:r>
        <w:rPr>
          <w:rFonts w:eastAsia="Calibri"/>
          <w:lang w:eastAsia="en-US"/>
        </w:rPr>
        <w:t xml:space="preserve">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2027 год в сумме 532 768,2 тыс. руб.</w:t>
      </w:r>
      <w:r>
        <w:rPr>
          <w:rFonts w:eastAsia="Calibri"/>
          <w:lang w:eastAsia="en-US"/>
        </w:rPr>
        <w:t xml:space="preserve"> (в том числе в пределах доведенных ЛБО – 466 380,8 тыс. руб.)</w:t>
      </w:r>
      <w: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2028 год в сумме 570 671,4 тыс. руб.</w:t>
      </w:r>
      <w:r>
        <w:rPr>
          <w:rFonts w:eastAsia="Calibri"/>
          <w:lang w:eastAsia="en-US"/>
        </w:rPr>
        <w:t xml:space="preserve"> (в том числе в пределах доведенных ЛБО – 495 037,7 тыс. руб.)</w:t>
      </w:r>
      <w:r>
        <w:t xml:space="preserve">.</w:t>
      </w:r>
      <w:r/>
    </w:p>
    <w:p>
      <w:pPr>
        <w:ind w:firstLine="709"/>
        <w:jc w:val="both"/>
      </w:pPr>
      <w:r>
        <w:t xml:space="preserve">Реализация проекта закона не потреб</w:t>
      </w:r>
      <w:r>
        <w:t xml:space="preserve">ует дополнительных затрат из областного бюджета Новосибирской области в части расходных обязательств </w:t>
      </w:r>
      <w:r>
        <w:rPr>
          <w:iCs/>
        </w:rPr>
        <w:t xml:space="preserve">министерства культуры</w:t>
      </w:r>
      <w:r>
        <w:t xml:space="preserve"> Новосибирской области.</w:t>
      </w:r>
      <w:r/>
    </w:p>
    <w:p>
      <w:pPr>
        <w:ind w:firstLine="709"/>
        <w:jc w:val="both"/>
      </w:pPr>
      <w:r/>
      <w:r/>
    </w:p>
    <w:p>
      <w:pPr>
        <w:ind w:firstLine="709"/>
        <w:jc w:val="both"/>
      </w:pPr>
      <w:r>
        <w:rPr>
          <w:color w:val="000000"/>
          <w:szCs w:val="28"/>
          <w:shd w:val="clear" w:color="auto" w:fill="ffffff"/>
        </w:rPr>
        <w:t xml:space="preserve">Реализация закона будет осуществляться</w:t>
      </w:r>
      <w:r>
        <w:rPr>
          <w:szCs w:val="28"/>
        </w:rPr>
        <w:t xml:space="preserve"> </w:t>
      </w:r>
      <w:r>
        <w:rPr>
          <w:b/>
          <w:bCs/>
          <w:szCs w:val="28"/>
        </w:rPr>
        <w:t xml:space="preserve">департаментом молодежной политики</w:t>
      </w:r>
      <w:r>
        <w:rPr>
          <w:szCs w:val="28"/>
        </w:rPr>
        <w:t xml:space="preserve"> </w:t>
      </w:r>
      <w:r>
        <w:rPr>
          <w:b/>
          <w:bCs/>
        </w:rPr>
        <w:t xml:space="preserve">Новосибирской области</w:t>
      </w:r>
      <w:r>
        <w:rPr>
          <w:bCs/>
        </w:rPr>
        <w:t xml:space="preserve"> в соответствии</w:t>
      </w:r>
      <w:r>
        <w:rPr>
          <w:bCs/>
        </w:rPr>
        <w:t xml:space="preserve"> с полномочиями Новосибирской области: «Осуществление региональных и межмуниципальных программ и мероприятий по работе с детьми и молодежью» (101010110) в пределах бюджетных ассигнований, предусмотренных Законом НСО от 19.12.2025 № 37-ОЗ</w:t>
      </w:r>
      <w:bookmarkStart w:id="52" w:name="_GoBack"/>
      <w:r/>
      <w:bookmarkEnd w:id="52"/>
      <w:r>
        <w:rPr>
          <w:bCs/>
        </w:rPr>
        <w:t xml:space="preserve"> и доведенных депа</w:t>
      </w:r>
      <w:r>
        <w:rPr>
          <w:bCs/>
        </w:rPr>
        <w:t xml:space="preserve">ртаменту молодежной политики Новосибирской области ЛБО на 2026-2028 годы</w:t>
      </w:r>
      <w:r>
        <w:t xml:space="preserve">.</w:t>
      </w:r>
      <w:r/>
    </w:p>
    <w:p>
      <w:pPr>
        <w:ind w:firstLine="709"/>
        <w:jc w:val="both"/>
      </w:pPr>
      <w:r>
        <w:t xml:space="preserve">В соответствии с расходным обязательством </w:t>
      </w:r>
      <w:r>
        <w:rPr>
          <w:szCs w:val="28"/>
        </w:rPr>
        <w:t xml:space="preserve">«</w:t>
      </w:r>
      <w:r>
        <w:rPr>
          <w:color w:val="000000"/>
          <w:szCs w:val="28"/>
        </w:rPr>
        <w:t xml:space="preserve">Оказание услуг учреждениями, обеспечивающими предоставление услуг в сфере образования и молодежной политики и приобретение имущества, прове</w:t>
      </w:r>
      <w:r>
        <w:rPr>
          <w:color w:val="000000"/>
          <w:szCs w:val="28"/>
        </w:rPr>
        <w:t xml:space="preserve">дение капитального ремонта, связанных с обеспечением деятельности данных учреждений</w:t>
      </w:r>
      <w:r>
        <w:rPr>
          <w:szCs w:val="28"/>
        </w:rPr>
        <w:t xml:space="preserve">»</w:t>
      </w:r>
      <w:r>
        <w:t xml:space="preserve">:</w:t>
      </w:r>
      <w:r/>
    </w:p>
    <w:p>
      <w:pPr>
        <w:ind w:firstLine="709"/>
        <w:jc w:val="both"/>
        <w:rPr>
          <w:color w:val="000000"/>
          <w:highlight w:val="white"/>
        </w:rPr>
      </w:pPr>
      <w:r>
        <w:t xml:space="preserve">по КБК 015 0709 16.3.04.04570 611</w:t>
      </w:r>
      <w:r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highlight w:val="white"/>
          <w:shd w:val="clear" w:color="auto" w:fill="ffffff"/>
        </w:rPr>
        <w:t xml:space="preserve">–</w:t>
      </w:r>
      <w:r>
        <w:rPr>
          <w:color w:val="000000"/>
          <w:szCs w:val="28"/>
          <w:shd w:val="clear" w:color="auto" w:fill="ffffff"/>
        </w:rPr>
        <w:t xml:space="preserve"> </w:t>
      </w:r>
      <w:r>
        <w:rPr>
          <w:szCs w:val="28"/>
        </w:rPr>
        <w:t xml:space="preserve">1 313,8 тыс. руб. на 2026-2028 годы ежегодно, общий объем расходов – 3 941,4 тыс. руб.</w:t>
      </w:r>
      <w:r>
        <w:t xml:space="preserve">;</w:t>
      </w:r>
      <w:r>
        <w:rPr>
          <w:color w:val="000000"/>
          <w:highlight w:val="white"/>
        </w:rPr>
      </w:r>
    </w:p>
    <w:p>
      <w:pPr>
        <w:ind w:firstLine="709"/>
        <w:jc w:val="both"/>
        <w:rPr>
          <w:color w:val="000000"/>
        </w:rPr>
      </w:pPr>
      <w:r>
        <w:t xml:space="preserve">по КБК 015 0707 19.3.01.09105 611</w:t>
      </w:r>
      <w:r>
        <w:rPr>
          <w:color w:val="000000"/>
          <w:szCs w:val="28"/>
          <w:shd w:val="clear" w:color="auto" w:fill="ffffff"/>
        </w:rPr>
        <w:t xml:space="preserve">:</w:t>
      </w:r>
      <w:r>
        <w:rPr>
          <w:color w:val="000000"/>
        </w:rPr>
      </w:r>
    </w:p>
    <w:p>
      <w:pPr>
        <w:ind w:firstLine="708"/>
        <w:jc w:val="both"/>
        <w:shd w:val="clear" w:color="ffffff" w:fill="ffffff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2026 г</w:t>
      </w:r>
      <w:r>
        <w:t xml:space="preserve">од в сумме 111 251,4 тыс. руб.</w:t>
      </w:r>
      <w:r>
        <w:rPr>
          <w:rFonts w:eastAsia="Calibri"/>
          <w:lang w:eastAsia="en-US"/>
        </w:rPr>
        <w:t xml:space="preserve">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2027 год в сумме 123 523, 4 тыс. руб.;</w:t>
      </w:r>
      <w:r/>
    </w:p>
    <w:p>
      <w:pPr>
        <w:ind w:firstLine="709"/>
        <w:jc w:val="both"/>
      </w:pPr>
      <w:r>
        <w:rPr>
          <w:color w:val="000000"/>
          <w:szCs w:val="28"/>
          <w:highlight w:val="white"/>
          <w:shd w:val="clear" w:color="auto" w:fill="ffffff"/>
        </w:rPr>
        <w:t xml:space="preserve">– на </w:t>
      </w:r>
      <w:r>
        <w:t xml:space="preserve">2028 год в сумме 133 918, 8 тыс. руб.</w:t>
      </w:r>
      <w:r/>
    </w:p>
    <w:p>
      <w:pPr>
        <w:ind w:firstLine="709"/>
        <w:jc w:val="both"/>
      </w:pPr>
      <w:r>
        <w:t xml:space="preserve">Реализация проекта закона не потребует дополнительных затрат из областного бюджета Новосибирской области в части расходных обязательств </w:t>
      </w:r>
      <w:r>
        <w:rPr>
          <w:bCs/>
        </w:rPr>
        <w:t xml:space="preserve">д</w:t>
      </w:r>
      <w:r>
        <w:rPr>
          <w:bCs/>
        </w:rPr>
        <w:t xml:space="preserve">епартамента молодежной политики Новосибирской области</w:t>
      </w:r>
      <w:r>
        <w:t xml:space="preserve">.</w:t>
      </w:r>
      <w:r/>
    </w:p>
    <w:p>
      <w:pPr>
        <w:jc w:val="both"/>
      </w:pPr>
      <w:r/>
      <w:r/>
    </w:p>
    <w:p>
      <w:pPr>
        <w:ind w:firstLine="709"/>
        <w:jc w:val="both"/>
        <w:rPr>
          <w:szCs w:val="28"/>
        </w:rPr>
      </w:pPr>
      <w:r>
        <w:rPr>
          <w:color w:val="000000"/>
          <w:szCs w:val="28"/>
          <w:shd w:val="clear" w:color="auto" w:fill="ffffff"/>
        </w:rPr>
        <w:t xml:space="preserve">Реализация закона будет осуществляться</w:t>
      </w:r>
      <w:r>
        <w:rPr>
          <w:szCs w:val="28"/>
        </w:rPr>
        <w:t xml:space="preserve"> </w:t>
      </w:r>
      <w:r>
        <w:rPr>
          <w:b/>
          <w:bCs/>
          <w:szCs w:val="28"/>
        </w:rPr>
        <w:t xml:space="preserve">управлением государственной архивной службы Новосибирской области</w:t>
      </w:r>
      <w:r>
        <w:rPr>
          <w:szCs w:val="28"/>
        </w:rPr>
        <w:t xml:space="preserve"> </w:t>
      </w:r>
      <w:r>
        <w:rPr>
          <w:bCs/>
        </w:rPr>
        <w:t xml:space="preserve">в соответствии с полномочиями Новосибирской области: </w:t>
      </w:r>
      <w:r>
        <w:rPr>
          <w:szCs w:val="28"/>
        </w:rPr>
        <w:t xml:space="preserve">«Организация архивного дела в субъекте Российской Федерации»</w:t>
      </w:r>
      <w:r>
        <w:rPr>
          <w:bCs/>
        </w:rPr>
        <w:t xml:space="preserve"> в пределах бюджетных ассигнований, предусмотренных Законом НСО </w:t>
      </w:r>
      <w:r>
        <w:rPr>
          <w:bCs/>
        </w:rPr>
        <w:t xml:space="preserve">от 19.12.2025 № 37-ОЗ</w:t>
      </w:r>
      <w:r>
        <w:rPr>
          <w:bCs/>
        </w:rPr>
        <w:t xml:space="preserve"> и доведенных </w:t>
      </w:r>
      <w:r>
        <w:rPr>
          <w:szCs w:val="28"/>
        </w:rPr>
        <w:t xml:space="preserve">управлению государственной архивной службы Новосибирской области</w:t>
      </w:r>
      <w:r>
        <w:rPr>
          <w:bCs/>
        </w:rPr>
        <w:t xml:space="preserve"> ЛБО на 2026-2028 годы</w:t>
      </w:r>
      <w:r>
        <w:rPr>
          <w:rStyle w:val="916"/>
          <w:bCs/>
        </w:rPr>
        <w:footnoteReference w:id="6"/>
      </w:r>
      <w:r>
        <w:t xml:space="preserve">.</w:t>
      </w:r>
      <w:r>
        <w:rPr>
          <w:szCs w:val="28"/>
        </w:rPr>
      </w:r>
    </w:p>
    <w:p>
      <w:pPr>
        <w:ind w:firstLine="709"/>
        <w:jc w:val="both"/>
        <w:rPr>
          <w:color w:val="000000"/>
          <w:highlight w:val="white"/>
        </w:rPr>
      </w:pPr>
      <w:r>
        <w:t xml:space="preserve">В соотв</w:t>
      </w:r>
      <w:r>
        <w:t xml:space="preserve">етствии с расходным обязательством </w:t>
      </w:r>
      <w:r>
        <w:rPr>
          <w:color w:val="000000"/>
        </w:rPr>
        <w:t xml:space="preserve">«</w:t>
      </w:r>
      <w:r>
        <w:t xml:space="preserve">Обеспечение деятельности подведомственных учреждений»</w:t>
      </w:r>
      <w:r>
        <w:t xml:space="preserve"> </w:t>
      </w:r>
      <w:r>
        <w:t xml:space="preserve">в рамках текущей деятельности</w:t>
      </w:r>
      <w:r>
        <w:t xml:space="preserve"> по КБК </w:t>
      </w:r>
      <w:r>
        <w:rPr>
          <w:szCs w:val="27"/>
        </w:rPr>
        <w:t xml:space="preserve">046 0113 46.3.01.00590 в 2026 году в сумме 119 188,8 тыс. руб., </w:t>
      </w:r>
      <w:r>
        <w:rPr>
          <w:szCs w:val="27"/>
        </w:rPr>
        <w:t xml:space="preserve">в 2027 году в сумме 133 244,6 тыс. руб., в 2028 году в сумме 140 </w:t>
      </w:r>
      <w:r>
        <w:rPr>
          <w:szCs w:val="27"/>
        </w:rPr>
        <w:t xml:space="preserve">417,3 тыс. руб</w:t>
      </w:r>
      <w:r>
        <w:t xml:space="preserve">.</w:t>
      </w:r>
      <w:r>
        <w:rPr>
          <w:color w:val="000000"/>
          <w:highlight w:val="white"/>
        </w:rPr>
      </w:r>
    </w:p>
    <w:p>
      <w:pPr>
        <w:ind w:firstLine="709"/>
        <w:jc w:val="both"/>
      </w:pPr>
      <w:r>
        <w:t xml:space="preserve">Реализация проекта закона не потребует дополнительных затрат из областного бюджета Новосибирской области в части расходных обязательств </w:t>
      </w:r>
      <w:r>
        <w:rPr>
          <w:szCs w:val="28"/>
        </w:rPr>
        <w:t xml:space="preserve">управления государственной архивной службы Новосибирской области</w:t>
      </w:r>
      <w:r>
        <w:t xml:space="preserve">.</w:t>
      </w:r>
      <w:r/>
    </w:p>
    <w:p>
      <w:pPr>
        <w:ind w:firstLine="709"/>
        <w:jc w:val="both"/>
      </w:pPr>
      <w:r/>
      <w:r/>
    </w:p>
    <w:p>
      <w:pPr>
        <w:ind w:firstLine="709"/>
        <w:jc w:val="both"/>
      </w:pPr>
      <w:r>
        <w:rPr>
          <w:szCs w:val="28"/>
        </w:rPr>
        <w:t xml:space="preserve">Выпадающие доходы областного бюджета </w:t>
      </w:r>
      <w:r>
        <w:rPr>
          <w:szCs w:val="28"/>
        </w:rPr>
        <w:t xml:space="preserve">Новосибирской области при реализации закона отсутствуют.</w:t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14"/>
        <w:jc w:val="both"/>
        <w:spacing w:line="235" w:lineRule="auto"/>
        <w:rPr>
          <w:sz w:val="20"/>
        </w:rPr>
      </w:pPr>
      <w:r>
        <w:rPr>
          <w:rStyle w:val="916"/>
        </w:rPr>
        <w:footnoteRef/>
      </w:r>
      <w:r>
        <w:t xml:space="preserve"> </w:t>
      </w:r>
      <w:r>
        <w:rPr>
          <w:sz w:val="20"/>
        </w:rPr>
        <w:t xml:space="preserve">Государственная программа Новосибирской области «Развитие институтов региональной политики и гра</w:t>
      </w:r>
      <w:r>
        <w:rPr>
          <w:sz w:val="20"/>
        </w:rPr>
        <w:t xml:space="preserve">жданского общества в Новосибирской области», утвержденная постановлением Правительства Новосибирской области от 26.12.2018 № 570-п</w:t>
      </w:r>
      <w:r>
        <w:rPr>
          <w:sz w:val="20"/>
        </w:rPr>
        <w:t xml:space="preserve">.</w:t>
      </w:r>
      <w:r>
        <w:rPr>
          <w:sz w:val="20"/>
        </w:rPr>
      </w:r>
    </w:p>
  </w:footnote>
  <w:footnote w:id="3">
    <w:p>
      <w:pPr>
        <w:pStyle w:val="914"/>
        <w:jc w:val="both"/>
        <w:spacing w:after="0"/>
      </w:pPr>
      <w:r>
        <w:rPr>
          <w:rStyle w:val="916"/>
        </w:rPr>
        <w:footnoteRef/>
      </w:r>
      <w:r>
        <w:t xml:space="preserve"> Государственная программа Новосибирской области, утвержденная </w:t>
      </w:r>
      <w:r>
        <w:rPr>
          <w:szCs w:val="28"/>
        </w:rPr>
        <w:t xml:space="preserve">постановлением Правительства Новосибирской области от 31.12.</w:t>
      </w:r>
      <w:r>
        <w:rPr>
          <w:szCs w:val="28"/>
        </w:rPr>
        <w:t xml:space="preserve">2014 № 576-п</w:t>
      </w:r>
      <w:r>
        <w:t xml:space="preserve"> «Об утверждении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области».</w:t>
      </w:r>
      <w:r/>
    </w:p>
  </w:footnote>
  <w:footnote w:id="4">
    <w:p>
      <w:pPr>
        <w:pStyle w:val="914"/>
      </w:pPr>
      <w:r>
        <w:rPr>
          <w:rStyle w:val="916"/>
        </w:rPr>
        <w:footnoteRef/>
      </w:r>
      <w:r>
        <w:t xml:space="preserve"> Государственная программа Новосибирской области, утвержденная </w:t>
      </w:r>
      <w:r>
        <w:rPr>
          <w:szCs w:val="28"/>
        </w:rPr>
        <w:t xml:space="preserve">постановлением</w:t>
      </w:r>
      <w:r>
        <w:t xml:space="preserve"> Правительства Новосибирской области </w:t>
      </w:r>
      <w:r>
        <w:rPr>
          <w:color w:val="000000"/>
          <w:szCs w:val="28"/>
        </w:rPr>
        <w:t xml:space="preserve">от 06.09.2013 № 380-п</w:t>
      </w:r>
      <w:r>
        <w:t xml:space="preserve"> «Об утверждении государственной программы Новосибирской области «Региональная программа развития среднего профессионального образования Новосибирской области».</w:t>
      </w:r>
      <w:r/>
    </w:p>
  </w:footnote>
  <w:footnote w:id="5">
    <w:p>
      <w:pPr>
        <w:pStyle w:val="914"/>
        <w:jc w:val="both"/>
      </w:pPr>
      <w:r>
        <w:rPr>
          <w:rStyle w:val="916"/>
        </w:rPr>
        <w:footnoteRef/>
      </w:r>
      <w:r>
        <w:t xml:space="preserve"> </w:t>
      </w:r>
      <w:r>
        <w:rPr>
          <w:bCs/>
        </w:rPr>
        <w:t xml:space="preserve">Комплекс процессных м</w:t>
      </w:r>
      <w:r>
        <w:rPr>
          <w:bCs/>
        </w:rPr>
        <w:t xml:space="preserve">ероприятий «Обеспечение функционирования государственной системы в сфере культуры» государственной программы Новосибирской области «Культура Новосибирской области», утвержденной постановлением Правительства Новосибирской области от 03.02.2015 № 46-п «Об ут</w:t>
      </w:r>
      <w:r>
        <w:rPr>
          <w:bCs/>
        </w:rPr>
        <w:t xml:space="preserve">верждении государственной программы Новосибирской области «Культура Новосибирской области»</w:t>
      </w:r>
      <w:r>
        <w:t xml:space="preserve">.</w:t>
      </w:r>
      <w:r/>
    </w:p>
  </w:footnote>
  <w:footnote w:id="6">
    <w:p>
      <w:pPr>
        <w:pStyle w:val="914"/>
        <w:jc w:val="both"/>
        <w:spacing w:after="0"/>
        <w:rPr>
          <w:sz w:val="20"/>
        </w:rPr>
      </w:pPr>
      <w:r>
        <w:rPr>
          <w:rStyle w:val="916"/>
          <w:sz w:val="20"/>
        </w:rPr>
        <w:footnoteRef/>
      </w:r>
      <w:r>
        <w:rPr>
          <w:sz w:val="20"/>
        </w:rPr>
        <w:t xml:space="preserve"> Комплекс процессных мероприятий «Обеспечение функционирования системы в сфере архивного дела» государственной программы</w:t>
      </w:r>
      <w:r>
        <w:rPr>
          <w:color w:val="000000" w:themeColor="text1"/>
          <w:sz w:val="20"/>
        </w:rPr>
        <w:t xml:space="preserve"> </w:t>
      </w:r>
      <w:r>
        <w:rPr>
          <w:color w:val="000000" w:themeColor="text1"/>
          <w:sz w:val="20"/>
          <w:highlight w:val="white"/>
        </w:rPr>
        <w:t xml:space="preserve">Новосибирской области «Развитие архивного </w:t>
      </w:r>
      <w:r>
        <w:rPr>
          <w:color w:val="000000" w:themeColor="text1"/>
          <w:sz w:val="20"/>
          <w:highlight w:val="white"/>
        </w:rPr>
        <w:t xml:space="preserve">дела»</w:t>
      </w:r>
      <w:r>
        <w:rPr>
          <w:color w:val="000000" w:themeColor="text1"/>
          <w:sz w:val="20"/>
        </w:rPr>
        <w:t xml:space="preserve">, </w:t>
      </w:r>
      <w:r>
        <w:rPr>
          <w:bCs/>
        </w:rPr>
        <w:t xml:space="preserve">утвержденной постановлением Правительства Новосибирской области от</w:t>
      </w:r>
      <w:r>
        <w:rPr>
          <w:sz w:val="20"/>
        </w:rPr>
        <w:t xml:space="preserve"> 20.08.2024 № 383-п.</w:t>
      </w:r>
      <w:r>
        <w:rPr>
          <w:sz w:val="20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1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 \* MERGEFORMAT</w:instrText>
    </w:r>
    <w:r>
      <w:rPr>
        <w:sz w:val="20"/>
      </w:rPr>
      <w:fldChar w:fldCharType="separate"/>
    </w:r>
    <w:r>
      <w:rPr>
        <w:sz w:val="20"/>
      </w:rPr>
      <w:t xml:space="preserve">6</w:t>
    </w:r>
    <w:r>
      <w:rPr>
        <w:sz w:val="20"/>
      </w:rPr>
      <w:fldChar w:fldCharType="end"/>
    </w:r>
    <w:r>
      <w:rPr>
        <w:sz w:val="20"/>
      </w:rPr>
    </w:r>
  </w:p>
  <w:p>
    <w:pPr>
      <w:pStyle w:val="7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  <w:tabs>
          <w:tab w:val="num" w:pos="40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55" w:hanging="495"/>
        <w:tabs>
          <w:tab w:val="num" w:pos="85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59"/>
    <w:link w:val="75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59"/>
    <w:link w:val="75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59"/>
    <w:link w:val="75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59"/>
    <w:link w:val="75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59"/>
    <w:link w:val="75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59"/>
    <w:link w:val="75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59"/>
    <w:link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59"/>
    <w:link w:val="75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59"/>
    <w:link w:val="75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59"/>
    <w:link w:val="773"/>
    <w:uiPriority w:val="10"/>
    <w:rPr>
      <w:sz w:val="48"/>
      <w:szCs w:val="48"/>
    </w:rPr>
  </w:style>
  <w:style w:type="character" w:styleId="37">
    <w:name w:val="Subtitle Char"/>
    <w:basedOn w:val="759"/>
    <w:link w:val="775"/>
    <w:uiPriority w:val="11"/>
    <w:rPr>
      <w:sz w:val="24"/>
      <w:szCs w:val="24"/>
    </w:rPr>
  </w:style>
  <w:style w:type="character" w:styleId="39">
    <w:name w:val="Quote Char"/>
    <w:link w:val="777"/>
    <w:uiPriority w:val="29"/>
    <w:rPr>
      <w:i/>
    </w:rPr>
  </w:style>
  <w:style w:type="character" w:styleId="41">
    <w:name w:val="Intense Quote Char"/>
    <w:link w:val="779"/>
    <w:uiPriority w:val="30"/>
    <w:rPr>
      <w:i/>
    </w:rPr>
  </w:style>
  <w:style w:type="character" w:styleId="176">
    <w:name w:val="Footnote Text Char"/>
    <w:link w:val="914"/>
    <w:uiPriority w:val="99"/>
    <w:rPr>
      <w:sz w:val="18"/>
    </w:rPr>
  </w:style>
  <w:style w:type="character" w:styleId="179">
    <w:name w:val="Endnote Text Char"/>
    <w:link w:val="917"/>
    <w:uiPriority w:val="99"/>
    <w:rPr>
      <w:sz w:val="20"/>
    </w:rPr>
  </w:style>
  <w:style w:type="paragraph" w:styleId="749" w:default="1">
    <w:name w:val="Normal"/>
    <w:qFormat/>
    <w:rPr>
      <w:sz w:val="28"/>
      <w:lang w:eastAsia="ru-RU"/>
    </w:rPr>
  </w:style>
  <w:style w:type="paragraph" w:styleId="750">
    <w:name w:val="Heading 1"/>
    <w:basedOn w:val="749"/>
    <w:next w:val="749"/>
    <w:link w:val="7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51">
    <w:name w:val="Heading 2"/>
    <w:basedOn w:val="749"/>
    <w:next w:val="749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2">
    <w:name w:val="Heading 3"/>
    <w:basedOn w:val="749"/>
    <w:next w:val="749"/>
    <w:link w:val="7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3">
    <w:name w:val="Heading 4"/>
    <w:basedOn w:val="749"/>
    <w:next w:val="749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4">
    <w:name w:val="Heading 5"/>
    <w:basedOn w:val="749"/>
    <w:next w:val="749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5">
    <w:name w:val="Heading 6"/>
    <w:basedOn w:val="749"/>
    <w:next w:val="749"/>
    <w:link w:val="7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6">
    <w:name w:val="Heading 7"/>
    <w:basedOn w:val="749"/>
    <w:next w:val="749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7">
    <w:name w:val="Heading 8"/>
    <w:basedOn w:val="749"/>
    <w:next w:val="749"/>
    <w:link w:val="7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8">
    <w:name w:val="Heading 9"/>
    <w:basedOn w:val="749"/>
    <w:next w:val="749"/>
    <w:link w:val="7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9" w:default="1">
    <w:name w:val="Default Paragraph Font"/>
    <w:uiPriority w:val="1"/>
    <w:semiHidden/>
    <w:unhideWhenUsed/>
  </w:style>
  <w:style w:type="table" w:styleId="7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1" w:default="1">
    <w:name w:val="No List"/>
    <w:uiPriority w:val="99"/>
    <w:semiHidden/>
    <w:unhideWhenUsed/>
  </w:style>
  <w:style w:type="character" w:styleId="762" w:customStyle="1">
    <w:name w:val="Заголовок 1 Знак"/>
    <w:link w:val="750"/>
    <w:uiPriority w:val="9"/>
    <w:rPr>
      <w:rFonts w:ascii="Arial" w:hAnsi="Arial" w:eastAsia="Arial" w:cs="Arial"/>
      <w:sz w:val="40"/>
      <w:szCs w:val="40"/>
    </w:rPr>
  </w:style>
  <w:style w:type="character" w:styleId="763" w:customStyle="1">
    <w:name w:val="Заголовок 2 Знак"/>
    <w:link w:val="751"/>
    <w:uiPriority w:val="9"/>
    <w:rPr>
      <w:rFonts w:ascii="Arial" w:hAnsi="Arial" w:eastAsia="Arial" w:cs="Arial"/>
      <w:sz w:val="34"/>
    </w:rPr>
  </w:style>
  <w:style w:type="character" w:styleId="764" w:customStyle="1">
    <w:name w:val="Заголовок 3 Знак"/>
    <w:link w:val="752"/>
    <w:uiPriority w:val="9"/>
    <w:rPr>
      <w:rFonts w:ascii="Arial" w:hAnsi="Arial" w:eastAsia="Arial" w:cs="Arial"/>
      <w:sz w:val="30"/>
      <w:szCs w:val="30"/>
    </w:rPr>
  </w:style>
  <w:style w:type="character" w:styleId="765" w:customStyle="1">
    <w:name w:val="Заголовок 4 Знак"/>
    <w:link w:val="753"/>
    <w:uiPriority w:val="9"/>
    <w:rPr>
      <w:rFonts w:ascii="Arial" w:hAnsi="Arial" w:eastAsia="Arial" w:cs="Arial"/>
      <w:b/>
      <w:bCs/>
      <w:sz w:val="26"/>
      <w:szCs w:val="26"/>
    </w:rPr>
  </w:style>
  <w:style w:type="character" w:styleId="766" w:customStyle="1">
    <w:name w:val="Заголовок 5 Знак"/>
    <w:link w:val="754"/>
    <w:uiPriority w:val="9"/>
    <w:rPr>
      <w:rFonts w:ascii="Arial" w:hAnsi="Arial" w:eastAsia="Arial" w:cs="Arial"/>
      <w:b/>
      <w:bCs/>
      <w:sz w:val="24"/>
      <w:szCs w:val="24"/>
    </w:rPr>
  </w:style>
  <w:style w:type="character" w:styleId="767" w:customStyle="1">
    <w:name w:val="Заголовок 6 Знак"/>
    <w:link w:val="755"/>
    <w:uiPriority w:val="9"/>
    <w:rPr>
      <w:rFonts w:ascii="Arial" w:hAnsi="Arial" w:eastAsia="Arial" w:cs="Arial"/>
      <w:b/>
      <w:bCs/>
      <w:sz w:val="22"/>
      <w:szCs w:val="22"/>
    </w:rPr>
  </w:style>
  <w:style w:type="character" w:styleId="768" w:customStyle="1">
    <w:name w:val="Заголовок 7 Знак"/>
    <w:link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9" w:customStyle="1">
    <w:name w:val="Заголовок 8 Знак"/>
    <w:link w:val="757"/>
    <w:uiPriority w:val="9"/>
    <w:rPr>
      <w:rFonts w:ascii="Arial" w:hAnsi="Arial" w:eastAsia="Arial" w:cs="Arial"/>
      <w:i/>
      <w:iCs/>
      <w:sz w:val="22"/>
      <w:szCs w:val="22"/>
    </w:rPr>
  </w:style>
  <w:style w:type="character" w:styleId="770" w:customStyle="1">
    <w:name w:val="Заголовок 9 Знак"/>
    <w:link w:val="758"/>
    <w:uiPriority w:val="9"/>
    <w:rPr>
      <w:rFonts w:ascii="Arial" w:hAnsi="Arial" w:eastAsia="Arial" w:cs="Arial"/>
      <w:i/>
      <w:iCs/>
      <w:sz w:val="21"/>
      <w:szCs w:val="21"/>
    </w:rPr>
  </w:style>
  <w:style w:type="paragraph" w:styleId="771">
    <w:name w:val="List Paragraph"/>
    <w:basedOn w:val="749"/>
    <w:uiPriority w:val="34"/>
    <w:qFormat/>
    <w:pPr>
      <w:contextualSpacing/>
      <w:ind w:left="720"/>
    </w:pPr>
  </w:style>
  <w:style w:type="paragraph" w:styleId="772">
    <w:name w:val="No Spacing"/>
    <w:uiPriority w:val="1"/>
    <w:qFormat/>
  </w:style>
  <w:style w:type="paragraph" w:styleId="773">
    <w:name w:val="Title"/>
    <w:basedOn w:val="749"/>
    <w:next w:val="749"/>
    <w:link w:val="7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4" w:customStyle="1">
    <w:name w:val="Заголовок Знак"/>
    <w:link w:val="773"/>
    <w:uiPriority w:val="10"/>
    <w:rPr>
      <w:sz w:val="48"/>
      <w:szCs w:val="48"/>
    </w:rPr>
  </w:style>
  <w:style w:type="paragraph" w:styleId="775">
    <w:name w:val="Subtitle"/>
    <w:basedOn w:val="749"/>
    <w:next w:val="749"/>
    <w:link w:val="776"/>
    <w:uiPriority w:val="11"/>
    <w:qFormat/>
    <w:pPr>
      <w:spacing w:before="200" w:after="200"/>
    </w:pPr>
    <w:rPr>
      <w:sz w:val="24"/>
      <w:szCs w:val="24"/>
    </w:rPr>
  </w:style>
  <w:style w:type="character" w:styleId="776" w:customStyle="1">
    <w:name w:val="Подзаголовок Знак"/>
    <w:link w:val="775"/>
    <w:uiPriority w:val="11"/>
    <w:rPr>
      <w:sz w:val="24"/>
      <w:szCs w:val="24"/>
    </w:rPr>
  </w:style>
  <w:style w:type="paragraph" w:styleId="777">
    <w:name w:val="Quote"/>
    <w:basedOn w:val="749"/>
    <w:next w:val="749"/>
    <w:link w:val="778"/>
    <w:uiPriority w:val="29"/>
    <w:qFormat/>
    <w:pPr>
      <w:ind w:left="720" w:right="720"/>
    </w:pPr>
    <w:rPr>
      <w:i/>
    </w:rPr>
  </w:style>
  <w:style w:type="character" w:styleId="778" w:customStyle="1">
    <w:name w:val="Цитата 2 Знак"/>
    <w:link w:val="777"/>
    <w:uiPriority w:val="29"/>
    <w:rPr>
      <w:i/>
    </w:rPr>
  </w:style>
  <w:style w:type="paragraph" w:styleId="779">
    <w:name w:val="Intense Quote"/>
    <w:basedOn w:val="749"/>
    <w:next w:val="749"/>
    <w:link w:val="78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0" w:customStyle="1">
    <w:name w:val="Выделенная цитата Знак"/>
    <w:link w:val="779"/>
    <w:uiPriority w:val="30"/>
    <w:rPr>
      <w:i/>
    </w:rPr>
  </w:style>
  <w:style w:type="paragraph" w:styleId="781">
    <w:name w:val="Header"/>
    <w:basedOn w:val="749"/>
    <w:link w:val="933"/>
    <w:uiPriority w:val="99"/>
    <w:pPr>
      <w:tabs>
        <w:tab w:val="center" w:pos="4153" w:leader="none"/>
        <w:tab w:val="right" w:pos="8306" w:leader="none"/>
      </w:tabs>
    </w:pPr>
  </w:style>
  <w:style w:type="character" w:styleId="782" w:customStyle="1">
    <w:name w:val="Header Char"/>
    <w:uiPriority w:val="99"/>
  </w:style>
  <w:style w:type="paragraph" w:styleId="783">
    <w:name w:val="Footer"/>
    <w:basedOn w:val="749"/>
    <w:link w:val="942"/>
    <w:pPr>
      <w:tabs>
        <w:tab w:val="center" w:pos="4677" w:leader="none"/>
        <w:tab w:val="right" w:pos="9355" w:leader="none"/>
      </w:tabs>
    </w:pPr>
  </w:style>
  <w:style w:type="character" w:styleId="784" w:customStyle="1">
    <w:name w:val="Footer Char"/>
    <w:uiPriority w:val="99"/>
  </w:style>
  <w:style w:type="paragraph" w:styleId="785">
    <w:name w:val="Caption"/>
    <w:basedOn w:val="749"/>
    <w:next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 w:customStyle="1">
    <w:name w:val="Caption Char"/>
    <w:uiPriority w:val="99"/>
  </w:style>
  <w:style w:type="table" w:styleId="787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3">
    <w:name w:val="Hyperlink"/>
    <w:uiPriority w:val="99"/>
    <w:unhideWhenUsed/>
    <w:rPr>
      <w:color w:val="0000ff" w:themeColor="hyperlink"/>
      <w:u w:val="single"/>
    </w:rPr>
  </w:style>
  <w:style w:type="paragraph" w:styleId="914">
    <w:name w:val="footnote text"/>
    <w:basedOn w:val="749"/>
    <w:link w:val="915"/>
    <w:uiPriority w:val="99"/>
    <w:semiHidden/>
    <w:unhideWhenUsed/>
    <w:pPr>
      <w:spacing w:after="40"/>
    </w:pPr>
    <w:rPr>
      <w:sz w:val="18"/>
    </w:rPr>
  </w:style>
  <w:style w:type="character" w:styleId="915" w:customStyle="1">
    <w:name w:val="Текст сноски Знак"/>
    <w:link w:val="914"/>
    <w:uiPriority w:val="99"/>
    <w:rPr>
      <w:sz w:val="18"/>
    </w:rPr>
  </w:style>
  <w:style w:type="character" w:styleId="916">
    <w:name w:val="footnote reference"/>
    <w:uiPriority w:val="99"/>
    <w:unhideWhenUsed/>
    <w:rPr>
      <w:vertAlign w:val="superscript"/>
    </w:rPr>
  </w:style>
  <w:style w:type="paragraph" w:styleId="917">
    <w:name w:val="endnote text"/>
    <w:basedOn w:val="749"/>
    <w:link w:val="918"/>
    <w:uiPriority w:val="99"/>
    <w:semiHidden/>
    <w:unhideWhenUsed/>
    <w:rPr>
      <w:sz w:val="20"/>
    </w:rPr>
  </w:style>
  <w:style w:type="character" w:styleId="918" w:customStyle="1">
    <w:name w:val="Текст концевой сноски Знак"/>
    <w:link w:val="917"/>
    <w:uiPriority w:val="99"/>
    <w:rPr>
      <w:sz w:val="20"/>
    </w:rPr>
  </w:style>
  <w:style w:type="character" w:styleId="919">
    <w:name w:val="endnote reference"/>
    <w:uiPriority w:val="99"/>
    <w:semiHidden/>
    <w:unhideWhenUsed/>
    <w:rPr>
      <w:vertAlign w:val="superscript"/>
    </w:rPr>
  </w:style>
  <w:style w:type="paragraph" w:styleId="920">
    <w:name w:val="toc 1"/>
    <w:basedOn w:val="749"/>
    <w:next w:val="749"/>
    <w:uiPriority w:val="39"/>
    <w:unhideWhenUsed/>
    <w:pPr>
      <w:spacing w:after="57"/>
    </w:pPr>
  </w:style>
  <w:style w:type="paragraph" w:styleId="921">
    <w:name w:val="toc 2"/>
    <w:basedOn w:val="749"/>
    <w:next w:val="749"/>
    <w:uiPriority w:val="39"/>
    <w:unhideWhenUsed/>
    <w:pPr>
      <w:ind w:left="283"/>
      <w:spacing w:after="57"/>
    </w:pPr>
  </w:style>
  <w:style w:type="paragraph" w:styleId="922">
    <w:name w:val="toc 3"/>
    <w:basedOn w:val="749"/>
    <w:next w:val="749"/>
    <w:uiPriority w:val="39"/>
    <w:unhideWhenUsed/>
    <w:pPr>
      <w:ind w:left="567"/>
      <w:spacing w:after="57"/>
    </w:pPr>
  </w:style>
  <w:style w:type="paragraph" w:styleId="923">
    <w:name w:val="toc 4"/>
    <w:basedOn w:val="749"/>
    <w:next w:val="749"/>
    <w:uiPriority w:val="39"/>
    <w:unhideWhenUsed/>
    <w:pPr>
      <w:ind w:left="850"/>
      <w:spacing w:after="57"/>
    </w:pPr>
  </w:style>
  <w:style w:type="paragraph" w:styleId="924">
    <w:name w:val="toc 5"/>
    <w:basedOn w:val="749"/>
    <w:next w:val="749"/>
    <w:uiPriority w:val="39"/>
    <w:unhideWhenUsed/>
    <w:pPr>
      <w:ind w:left="1134"/>
      <w:spacing w:after="57"/>
    </w:pPr>
  </w:style>
  <w:style w:type="paragraph" w:styleId="925">
    <w:name w:val="toc 6"/>
    <w:basedOn w:val="749"/>
    <w:next w:val="749"/>
    <w:uiPriority w:val="39"/>
    <w:unhideWhenUsed/>
    <w:pPr>
      <w:ind w:left="1417"/>
      <w:spacing w:after="57"/>
    </w:pPr>
  </w:style>
  <w:style w:type="paragraph" w:styleId="926">
    <w:name w:val="toc 7"/>
    <w:basedOn w:val="749"/>
    <w:next w:val="749"/>
    <w:uiPriority w:val="39"/>
    <w:unhideWhenUsed/>
    <w:pPr>
      <w:ind w:left="1701"/>
      <w:spacing w:after="57"/>
    </w:pPr>
  </w:style>
  <w:style w:type="paragraph" w:styleId="927">
    <w:name w:val="toc 8"/>
    <w:basedOn w:val="749"/>
    <w:next w:val="749"/>
    <w:uiPriority w:val="39"/>
    <w:unhideWhenUsed/>
    <w:pPr>
      <w:ind w:left="1984"/>
      <w:spacing w:after="57"/>
    </w:pPr>
  </w:style>
  <w:style w:type="paragraph" w:styleId="928">
    <w:name w:val="toc 9"/>
    <w:basedOn w:val="749"/>
    <w:next w:val="749"/>
    <w:uiPriority w:val="39"/>
    <w:unhideWhenUsed/>
    <w:pPr>
      <w:ind w:left="2268"/>
      <w:spacing w:after="57"/>
    </w:pPr>
  </w:style>
  <w:style w:type="paragraph" w:styleId="929">
    <w:name w:val="TOC Heading"/>
    <w:uiPriority w:val="39"/>
    <w:unhideWhenUsed/>
  </w:style>
  <w:style w:type="paragraph" w:styleId="930">
    <w:name w:val="table of figures"/>
    <w:basedOn w:val="749"/>
    <w:next w:val="749"/>
    <w:uiPriority w:val="99"/>
    <w:unhideWhenUsed/>
  </w:style>
  <w:style w:type="paragraph" w:styleId="931">
    <w:name w:val="Body Text"/>
    <w:basedOn w:val="749"/>
    <w:pPr>
      <w:jc w:val="center"/>
    </w:pPr>
  </w:style>
  <w:style w:type="paragraph" w:styleId="932" w:customStyle="1">
    <w:name w:val="Название"/>
    <w:basedOn w:val="749"/>
    <w:qFormat/>
    <w:pPr>
      <w:jc w:val="center"/>
    </w:pPr>
    <w:rPr>
      <w:b/>
    </w:rPr>
  </w:style>
  <w:style w:type="character" w:styleId="933" w:customStyle="1">
    <w:name w:val="Верхний колонтитул Знак"/>
    <w:link w:val="781"/>
    <w:uiPriority w:val="99"/>
    <w:rPr>
      <w:sz w:val="28"/>
    </w:rPr>
  </w:style>
  <w:style w:type="paragraph" w:styleId="934">
    <w:name w:val="Balloon Text"/>
    <w:basedOn w:val="749"/>
    <w:link w:val="935"/>
    <w:rPr>
      <w:rFonts w:ascii="Tahoma" w:hAnsi="Tahoma" w:cs="Tahoma"/>
      <w:sz w:val="16"/>
      <w:szCs w:val="16"/>
    </w:rPr>
  </w:style>
  <w:style w:type="character" w:styleId="935" w:customStyle="1">
    <w:name w:val="Текст выноски Знак"/>
    <w:link w:val="934"/>
    <w:rPr>
      <w:rFonts w:ascii="Tahoma" w:hAnsi="Tahoma" w:cs="Tahoma"/>
      <w:sz w:val="16"/>
      <w:szCs w:val="16"/>
    </w:rPr>
  </w:style>
  <w:style w:type="character" w:styleId="936">
    <w:name w:val="annotation reference"/>
    <w:rPr>
      <w:sz w:val="16"/>
      <w:szCs w:val="16"/>
    </w:rPr>
  </w:style>
  <w:style w:type="paragraph" w:styleId="937">
    <w:name w:val="annotation text"/>
    <w:basedOn w:val="749"/>
    <w:link w:val="938"/>
    <w:rPr>
      <w:sz w:val="20"/>
    </w:rPr>
  </w:style>
  <w:style w:type="character" w:styleId="938" w:customStyle="1">
    <w:name w:val="Текст примечания Знак"/>
    <w:basedOn w:val="759"/>
    <w:link w:val="937"/>
  </w:style>
  <w:style w:type="paragraph" w:styleId="939">
    <w:name w:val="annotation subject"/>
    <w:basedOn w:val="937"/>
    <w:next w:val="937"/>
    <w:link w:val="940"/>
    <w:rPr>
      <w:b/>
      <w:bCs/>
    </w:rPr>
  </w:style>
  <w:style w:type="character" w:styleId="940" w:customStyle="1">
    <w:name w:val="Тема примечания Знак"/>
    <w:link w:val="939"/>
    <w:rPr>
      <w:b/>
      <w:bCs/>
    </w:rPr>
  </w:style>
  <w:style w:type="paragraph" w:styleId="941" w:customStyle="1">
    <w:name w:val="ConsPlusTitle"/>
    <w:pPr>
      <w:widowControl w:val="off"/>
    </w:pPr>
    <w:rPr>
      <w:rFonts w:ascii="Calibri" w:hAnsi="Calibri" w:cs="Calibri"/>
      <w:b/>
      <w:sz w:val="22"/>
      <w:lang w:eastAsia="ru-RU"/>
    </w:rPr>
  </w:style>
  <w:style w:type="character" w:styleId="942" w:customStyle="1">
    <w:name w:val="Нижний колонтитул Знак"/>
    <w:link w:val="783"/>
    <w:rPr>
      <w:sz w:val="28"/>
    </w:rPr>
  </w:style>
  <w:style w:type="paragraph" w:styleId="943" w:customStyle="1">
    <w:name w:val="ConsPlusNormal"/>
    <w:uiPriority w:val="99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cs="Calibri"/>
      <w:sz w:val="22"/>
      <w:lang w:eastAsia="ru-RU"/>
    </w:rPr>
  </w:style>
  <w:style w:type="paragraph" w:styleId="944" w:customStyle="1">
    <w:name w:val="Текст выноски1"/>
    <w:basedOn w:val="756"/>
    <w:uiPriority w:val="99"/>
    <w:semiHidden/>
    <w:pPr>
      <w:keepLines w:val="0"/>
      <w:keepNext w:val="0"/>
      <w:spacing w:before="0" w:after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ahoma" w:hAnsi="Tahoma" w:eastAsia="Times New Roman" w:cs="Tahoma"/>
      <w:b w:val="0"/>
      <w:bCs w:val="0"/>
      <w:i w:val="0"/>
      <w:iCs w:val="0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revision>3</cp:revision>
  <dcterms:created xsi:type="dcterms:W3CDTF">2026-07-07T05:49:00Z</dcterms:created>
  <dcterms:modified xsi:type="dcterms:W3CDTF">2026-07-07T08:16:17Z</dcterms:modified>
  <cp:version>1048576</cp:version>
</cp:coreProperties>
</file>